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115D" w14:textId="77777777" w:rsidR="00461DF3" w:rsidRDefault="00461DF3" w:rsidP="00461DF3">
      <w:pPr>
        <w:pStyle w:val="Titolo1"/>
        <w:spacing w:before="0" w:beforeAutospacing="0" w:after="165" w:afterAutospacing="0" w:line="630" w:lineRule="atLeast"/>
        <w:textAlignment w:val="baseline"/>
        <w:rPr>
          <w:b w:val="0"/>
          <w:bCs w:val="0"/>
          <w:color w:val="007AC3"/>
          <w:sz w:val="54"/>
          <w:szCs w:val="54"/>
        </w:rPr>
      </w:pPr>
      <w:r>
        <w:rPr>
          <w:b w:val="0"/>
          <w:bCs w:val="0"/>
          <w:color w:val="007AC3"/>
          <w:sz w:val="54"/>
          <w:szCs w:val="54"/>
        </w:rPr>
        <w:t>Bonus 200 euro: a chi spetta e come gestirlo in busta paga</w:t>
      </w:r>
    </w:p>
    <w:p w14:paraId="54E090C4" w14:textId="07C3B575" w:rsidR="00461DF3" w:rsidRDefault="00461DF3" w:rsidP="00461DF3">
      <w:pPr>
        <w:shd w:val="clear" w:color="auto" w:fill="FFFFFF"/>
        <w:textAlignment w:val="baseline"/>
        <w:rPr>
          <w:rFonts w:ascii="Fira Sans" w:hAnsi="Fira Sans"/>
          <w:color w:val="000000"/>
          <w:sz w:val="18"/>
          <w:szCs w:val="18"/>
        </w:rPr>
      </w:pPr>
    </w:p>
    <w:p w14:paraId="461E8092" w14:textId="77777777" w:rsidR="00461DF3" w:rsidRDefault="00461DF3" w:rsidP="00461DF3">
      <w:pPr>
        <w:pStyle w:val="abstract"/>
        <w:shd w:val="clear" w:color="auto" w:fill="FFFFFF"/>
        <w:spacing w:before="90" w:beforeAutospacing="0" w:after="300" w:afterAutospacing="0" w:line="360" w:lineRule="atLeast"/>
        <w:textAlignment w:val="baseline"/>
        <w:rPr>
          <w:rFonts w:ascii="Fira Sans" w:hAnsi="Fira Sans"/>
          <w:color w:val="000000"/>
          <w:sz w:val="23"/>
          <w:szCs w:val="23"/>
        </w:rPr>
      </w:pPr>
      <w:proofErr w:type="gramStart"/>
      <w:r>
        <w:rPr>
          <w:rFonts w:ascii="Fira Sans" w:hAnsi="Fira Sans"/>
          <w:color w:val="000000"/>
          <w:sz w:val="23"/>
          <w:szCs w:val="23"/>
        </w:rPr>
        <w:t>E’</w:t>
      </w:r>
      <w:proofErr w:type="gramEnd"/>
      <w:r>
        <w:rPr>
          <w:rFonts w:ascii="Fira Sans" w:hAnsi="Fira Sans"/>
          <w:color w:val="000000"/>
          <w:sz w:val="23"/>
          <w:szCs w:val="23"/>
        </w:rPr>
        <w:t xml:space="preserve"> in arrivo il nuovo bonus di 200 euro destinato ai lavoratori subordinati, autonomi e pensionati, ora ampliato a percettori di reddito di cittadinanza e lavoratori domestici, a seguito delle nuove modifiche apportate, dal Consiglio dei Ministri, al decreto Aiuti. Il provvedimento contiene le indicazioni operative per l’erogazione della misura a giugno per i dipendenti e nel mese di luglio per le altre categorie di soggetti aventi diritto. La gestione del bonus comporterà una serie di operazioni che il sostituto d’imposta sarà chiamato ad effettuare già nel LUL di giugno e poi, a conguaglio, nel mese di dicembre. Cosa deve fare il datore di lavoro?</w:t>
      </w:r>
    </w:p>
    <w:p w14:paraId="1B373D47"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Il </w:t>
      </w:r>
      <w:r>
        <w:rPr>
          <w:rStyle w:val="Enfasigrassetto"/>
          <w:rFonts w:ascii="Fira Sans" w:eastAsiaTheme="majorEastAsia" w:hAnsi="Fira Sans"/>
          <w:b w:val="0"/>
          <w:bCs w:val="0"/>
          <w:color w:val="000000"/>
          <w:sz w:val="23"/>
          <w:szCs w:val="23"/>
          <w:bdr w:val="none" w:sz="0" w:space="0" w:color="auto" w:frame="1"/>
        </w:rPr>
        <w:t>decreto Aiuti</w:t>
      </w:r>
      <w:r>
        <w:rPr>
          <w:rFonts w:ascii="Fira Sans" w:hAnsi="Fira Sans"/>
          <w:color w:val="000000"/>
          <w:sz w:val="23"/>
          <w:szCs w:val="23"/>
        </w:rPr>
        <w:t xml:space="preserve">, modificato nuovamente dal </w:t>
      </w:r>
      <w:proofErr w:type="gramStart"/>
      <w:r>
        <w:rPr>
          <w:rFonts w:ascii="Fira Sans" w:hAnsi="Fira Sans"/>
          <w:color w:val="000000"/>
          <w:sz w:val="23"/>
          <w:szCs w:val="23"/>
        </w:rPr>
        <w:t>Consiglio dei Ministri</w:t>
      </w:r>
      <w:proofErr w:type="gramEnd"/>
      <w:r>
        <w:rPr>
          <w:rFonts w:ascii="Fira Sans" w:hAnsi="Fira Sans"/>
          <w:color w:val="000000"/>
          <w:sz w:val="23"/>
          <w:szCs w:val="23"/>
        </w:rPr>
        <w:t xml:space="preserve"> del 5 maggio, contiene una serie di misure urgenti in materia di politiche energetiche nazionali, produttività delle imprese e attrazione degli investimenti, nonché in materia di politiche sociali e di crisi ucraina. Si tratta di una serie di interventi per 17 miliardi di euro per sostenere famiglie e imprese in difficoltà.</w:t>
      </w:r>
    </w:p>
    <w:p w14:paraId="31369746"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All’interno della bozza del testo di legge, nella sezione di interventi dedicati ai cittadini e alle politiche sociali, circa 30 milioni di euro sono destinati all’introduzione di una nuova misura volta alla </w:t>
      </w:r>
      <w:r>
        <w:rPr>
          <w:rStyle w:val="Enfasigrassetto"/>
          <w:rFonts w:ascii="Fira Sans" w:eastAsiaTheme="majorEastAsia" w:hAnsi="Fira Sans"/>
          <w:b w:val="0"/>
          <w:bCs w:val="0"/>
          <w:color w:val="000000"/>
          <w:sz w:val="23"/>
          <w:szCs w:val="23"/>
          <w:bdr w:val="none" w:sz="0" w:space="0" w:color="auto" w:frame="1"/>
        </w:rPr>
        <w:t>riduzione del cuneo fiscale</w:t>
      </w:r>
      <w:r>
        <w:rPr>
          <w:rFonts w:ascii="Fira Sans" w:hAnsi="Fira Sans"/>
          <w:color w:val="000000"/>
          <w:sz w:val="23"/>
          <w:szCs w:val="23"/>
        </w:rPr>
        <w:t> per lavoratori, pensionati e disoccupati, che si aggiunge alle previsioni già in vigore introdotte dalla legge di Bilancio 2022 (L. n. 234/2021).</w:t>
      </w:r>
    </w:p>
    <w:p w14:paraId="013E307D" w14:textId="77777777" w:rsidR="00461DF3" w:rsidRDefault="00461DF3" w:rsidP="00461DF3">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Bonus 200 euro</w:t>
      </w:r>
    </w:p>
    <w:p w14:paraId="49D6D332" w14:textId="77777777" w:rsidR="00461DF3" w:rsidRDefault="00461DF3" w:rsidP="00461DF3">
      <w:pPr>
        <w:shd w:val="clear" w:color="auto" w:fill="FFFFFF"/>
        <w:spacing w:line="315" w:lineRule="atLeast"/>
        <w:textAlignment w:val="baseline"/>
        <w:rPr>
          <w:rFonts w:ascii="Fira Sans" w:hAnsi="Fira Sans"/>
          <w:color w:val="000000"/>
          <w:sz w:val="23"/>
          <w:szCs w:val="23"/>
        </w:rPr>
      </w:pPr>
      <w:proofErr w:type="gramStart"/>
      <w:r>
        <w:rPr>
          <w:rFonts w:ascii="Fira Sans" w:hAnsi="Fira Sans"/>
          <w:color w:val="000000"/>
          <w:sz w:val="23"/>
          <w:szCs w:val="23"/>
        </w:rPr>
        <w:t>E’</w:t>
      </w:r>
      <w:proofErr w:type="gramEnd"/>
      <w:r>
        <w:rPr>
          <w:rFonts w:ascii="Fira Sans" w:hAnsi="Fira Sans"/>
          <w:color w:val="000000"/>
          <w:sz w:val="23"/>
          <w:szCs w:val="23"/>
        </w:rPr>
        <w:t xml:space="preserve"> pari a 200 euro l’importo del nuovo bonus che sarà riconosciuto nell’estate 2022 a lavoratori dipendenti, autonomi e pensionati con reddito </w:t>
      </w:r>
      <w:r>
        <w:rPr>
          <w:rStyle w:val="Enfasigrassetto"/>
          <w:rFonts w:ascii="Fira Sans" w:eastAsiaTheme="majorEastAsia" w:hAnsi="Fira Sans"/>
          <w:b w:val="0"/>
          <w:bCs w:val="0"/>
          <w:color w:val="000000"/>
          <w:sz w:val="23"/>
          <w:szCs w:val="23"/>
          <w:bdr w:val="none" w:sz="0" w:space="0" w:color="auto" w:frame="1"/>
        </w:rPr>
        <w:t>sotto i 35 mila euro</w:t>
      </w:r>
      <w:r>
        <w:rPr>
          <w:rFonts w:ascii="Fira Sans" w:hAnsi="Fira Sans"/>
          <w:color w:val="000000"/>
          <w:sz w:val="23"/>
          <w:szCs w:val="23"/>
        </w:rPr>
        <w:t>. Un importo "una tantum" previsto per far fronte ai rincari dell'energia e delle materie prime derivanti dalla situazione economico politica contingente.</w:t>
      </w:r>
    </w:p>
    <w:p w14:paraId="51711050"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Le categorie di soggetti destinatarie sono:</w:t>
      </w:r>
    </w:p>
    <w:p w14:paraId="798BA89F"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pensionati</w:t>
      </w:r>
      <w:r>
        <w:rPr>
          <w:rFonts w:ascii="Fira Sans" w:hAnsi="Fira Sans"/>
          <w:color w:val="000000"/>
          <w:sz w:val="23"/>
          <w:szCs w:val="23"/>
        </w:rPr>
        <w:t>, che lo riceveranno tramite l’INPS;</w:t>
      </w:r>
    </w:p>
    <w:p w14:paraId="7DD0DA9D"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lavoratori dipendenti</w:t>
      </w:r>
      <w:r>
        <w:rPr>
          <w:rFonts w:ascii="Fira Sans" w:hAnsi="Fira Sans"/>
          <w:color w:val="000000"/>
          <w:sz w:val="23"/>
          <w:szCs w:val="23"/>
        </w:rPr>
        <w:t>, inclusi colf, badanti e lavoratori domestici</w:t>
      </w:r>
    </w:p>
    <w:p w14:paraId="505FA6CE"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lavoratori autonomi</w:t>
      </w:r>
      <w:r>
        <w:rPr>
          <w:rFonts w:ascii="Fira Sans" w:hAnsi="Fira Sans"/>
          <w:color w:val="000000"/>
          <w:sz w:val="23"/>
          <w:szCs w:val="23"/>
        </w:rPr>
        <w:t>, verrà istituito un fondo speciale.</w:t>
      </w:r>
    </w:p>
    <w:p w14:paraId="008F0ABA"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disoccupati</w:t>
      </w:r>
      <w:r>
        <w:rPr>
          <w:rFonts w:ascii="Fira Sans" w:hAnsi="Fira Sans"/>
          <w:color w:val="000000"/>
          <w:sz w:val="23"/>
          <w:szCs w:val="23"/>
        </w:rPr>
        <w:t> e </w:t>
      </w:r>
      <w:r>
        <w:rPr>
          <w:rStyle w:val="Enfasigrassetto"/>
          <w:rFonts w:ascii="Fira Sans" w:eastAsiaTheme="majorEastAsia" w:hAnsi="Fira Sans"/>
          <w:b w:val="0"/>
          <w:bCs w:val="0"/>
          <w:color w:val="000000"/>
          <w:sz w:val="23"/>
          <w:szCs w:val="23"/>
          <w:bdr w:val="none" w:sz="0" w:space="0" w:color="auto" w:frame="1"/>
        </w:rPr>
        <w:t>percettori del reddito di cittadinanza</w:t>
      </w:r>
      <w:r>
        <w:rPr>
          <w:rFonts w:ascii="Fira Sans" w:hAnsi="Fira Sans"/>
          <w:color w:val="000000"/>
          <w:sz w:val="23"/>
          <w:szCs w:val="23"/>
        </w:rPr>
        <w:t>.</w:t>
      </w:r>
    </w:p>
    <w:p w14:paraId="0A9B258A"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L’erogazione del bonus è prevista:</w:t>
      </w:r>
    </w:p>
    <w:p w14:paraId="7CFBD9CD"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lastRenderedPageBreak/>
        <w:t>- nel </w:t>
      </w:r>
      <w:r>
        <w:rPr>
          <w:rStyle w:val="Enfasigrassetto"/>
          <w:rFonts w:ascii="Fira Sans" w:eastAsiaTheme="majorEastAsia" w:hAnsi="Fira Sans"/>
          <w:b w:val="0"/>
          <w:bCs w:val="0"/>
          <w:color w:val="000000"/>
          <w:sz w:val="23"/>
          <w:szCs w:val="23"/>
          <w:bdr w:val="none" w:sz="0" w:space="0" w:color="auto" w:frame="1"/>
        </w:rPr>
        <w:t>mese di luglio</w:t>
      </w:r>
      <w:r>
        <w:rPr>
          <w:rFonts w:ascii="Fira Sans" w:hAnsi="Fira Sans"/>
          <w:color w:val="000000"/>
          <w:sz w:val="23"/>
          <w:szCs w:val="23"/>
        </w:rPr>
        <w:t> in favore dei pensionati;</w:t>
      </w:r>
    </w:p>
    <w:p w14:paraId="64DF7B6E"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nei mesi di </w:t>
      </w:r>
      <w:r>
        <w:rPr>
          <w:rStyle w:val="Enfasigrassetto"/>
          <w:rFonts w:ascii="Fira Sans" w:eastAsiaTheme="majorEastAsia" w:hAnsi="Fira Sans"/>
          <w:b w:val="0"/>
          <w:bCs w:val="0"/>
          <w:color w:val="000000"/>
          <w:sz w:val="23"/>
          <w:szCs w:val="23"/>
          <w:bdr w:val="none" w:sz="0" w:space="0" w:color="auto" w:frame="1"/>
        </w:rPr>
        <w:t>giugno</w:t>
      </w:r>
      <w:r>
        <w:rPr>
          <w:rFonts w:ascii="Fira Sans" w:hAnsi="Fira Sans"/>
          <w:color w:val="000000"/>
          <w:sz w:val="23"/>
          <w:szCs w:val="23"/>
        </w:rPr>
        <w:t> e </w:t>
      </w:r>
      <w:r>
        <w:rPr>
          <w:rStyle w:val="Enfasigrassetto"/>
          <w:rFonts w:ascii="Fira Sans" w:eastAsiaTheme="majorEastAsia" w:hAnsi="Fira Sans"/>
          <w:b w:val="0"/>
          <w:bCs w:val="0"/>
          <w:color w:val="000000"/>
          <w:sz w:val="23"/>
          <w:szCs w:val="23"/>
          <w:bdr w:val="none" w:sz="0" w:space="0" w:color="auto" w:frame="1"/>
        </w:rPr>
        <w:t>luglio</w:t>
      </w:r>
      <w:r>
        <w:rPr>
          <w:rFonts w:ascii="Fira Sans" w:hAnsi="Fira Sans"/>
          <w:color w:val="000000"/>
          <w:sz w:val="23"/>
          <w:szCs w:val="23"/>
        </w:rPr>
        <w:t> per i lavoratori dipendenti.</w:t>
      </w:r>
    </w:p>
    <w:p w14:paraId="6C8F070C"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Nel computo della soglia di reddito da rispettare per la legittima spettanza vanno inclusi tutti i redditi di qualsiasi natura con la sola </w:t>
      </w:r>
      <w:r>
        <w:rPr>
          <w:rStyle w:val="Enfasigrassetto"/>
          <w:rFonts w:ascii="Fira Sans" w:eastAsiaTheme="majorEastAsia" w:hAnsi="Fira Sans"/>
          <w:b w:val="0"/>
          <w:bCs w:val="0"/>
          <w:color w:val="000000"/>
          <w:sz w:val="23"/>
          <w:szCs w:val="23"/>
          <w:bdr w:val="none" w:sz="0" w:space="0" w:color="auto" w:frame="1"/>
        </w:rPr>
        <w:t>eccezione</w:t>
      </w:r>
      <w:r>
        <w:rPr>
          <w:rFonts w:ascii="Fira Sans" w:hAnsi="Fira Sans"/>
          <w:color w:val="000000"/>
          <w:sz w:val="23"/>
          <w:szCs w:val="23"/>
        </w:rPr>
        <w:t> dei seguenti:</w:t>
      </w:r>
    </w:p>
    <w:p w14:paraId="460E3A44"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w:t>
      </w:r>
      <w:r>
        <w:rPr>
          <w:rStyle w:val="Enfasigrassetto"/>
          <w:rFonts w:ascii="Fira Sans" w:eastAsiaTheme="majorEastAsia" w:hAnsi="Fira Sans"/>
          <w:b w:val="0"/>
          <w:bCs w:val="0"/>
          <w:color w:val="000000"/>
          <w:sz w:val="23"/>
          <w:szCs w:val="23"/>
          <w:bdr w:val="none" w:sz="0" w:space="0" w:color="auto" w:frame="1"/>
        </w:rPr>
        <w:t>rendita casa di abitazione</w:t>
      </w:r>
      <w:r>
        <w:rPr>
          <w:rFonts w:ascii="Fira Sans" w:hAnsi="Fira Sans"/>
          <w:color w:val="000000"/>
          <w:sz w:val="23"/>
          <w:szCs w:val="23"/>
        </w:rPr>
        <w:t> e relative pertinenze;</w:t>
      </w:r>
    </w:p>
    <w:p w14:paraId="2ADE138D"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trattamenti di fine rapporto;</w:t>
      </w:r>
    </w:p>
    <w:p w14:paraId="24A0E1B0"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emolumenti arretrati sottoposti a tassazione separata;</w:t>
      </w:r>
    </w:p>
    <w:p w14:paraId="4AFEF221"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ANF, assegni familiari e </w:t>
      </w:r>
      <w:r>
        <w:rPr>
          <w:rStyle w:val="Enfasigrassetto"/>
          <w:rFonts w:ascii="Fira Sans" w:eastAsiaTheme="majorEastAsia" w:hAnsi="Fira Sans"/>
          <w:b w:val="0"/>
          <w:bCs w:val="0"/>
          <w:color w:val="000000"/>
          <w:sz w:val="23"/>
          <w:szCs w:val="23"/>
          <w:bdr w:val="none" w:sz="0" w:space="0" w:color="auto" w:frame="1"/>
        </w:rPr>
        <w:t>assegno unico universale</w:t>
      </w:r>
      <w:r>
        <w:rPr>
          <w:rFonts w:ascii="Fira Sans" w:hAnsi="Fira Sans"/>
          <w:color w:val="000000"/>
          <w:sz w:val="23"/>
          <w:szCs w:val="23"/>
        </w:rPr>
        <w:t>;</w:t>
      </w:r>
    </w:p>
    <w:p w14:paraId="319BC9FC"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assegni di guerra, indennizzi da vaccinazione o trasfusione;</w:t>
      </w:r>
    </w:p>
    <w:p w14:paraId="40A094E6"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indennità di accompagnamento.</w:t>
      </w:r>
    </w:p>
    <w:p w14:paraId="6B7D18EA"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L’importo erogato a titolo di bonus è </w:t>
      </w:r>
      <w:r>
        <w:rPr>
          <w:rStyle w:val="Enfasigrassetto"/>
          <w:rFonts w:ascii="Fira Sans" w:eastAsiaTheme="majorEastAsia" w:hAnsi="Fira Sans"/>
          <w:b w:val="0"/>
          <w:bCs w:val="0"/>
          <w:color w:val="000000"/>
          <w:sz w:val="23"/>
          <w:szCs w:val="23"/>
          <w:bdr w:val="none" w:sz="0" w:space="0" w:color="auto" w:frame="1"/>
        </w:rPr>
        <w:t>fiscalmente esente</w:t>
      </w:r>
      <w:r>
        <w:rPr>
          <w:rFonts w:ascii="Fira Sans" w:hAnsi="Fira Sans"/>
          <w:color w:val="000000"/>
          <w:sz w:val="23"/>
          <w:szCs w:val="23"/>
        </w:rPr>
        <w:t>.</w:t>
      </w:r>
    </w:p>
    <w:p w14:paraId="3931AF49"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La medesima indennità pari a 200 euro una tantum è prevista per i disoccupati e i cassintegrati a zero ore che risultino tali nel mese di giugno prossimo. In entrambi i casi sarà sempre l’INPS a erogare il contributo nel mese di luglio.</w:t>
      </w:r>
    </w:p>
    <w:p w14:paraId="421E5B1C" w14:textId="77777777" w:rsidR="00461DF3" w:rsidRDefault="00461DF3" w:rsidP="00461DF3">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Come gestire la busta paga</w:t>
      </w:r>
    </w:p>
    <w:p w14:paraId="219A27FA"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 </w:t>
      </w:r>
      <w:r>
        <w:rPr>
          <w:rStyle w:val="Enfasigrassetto"/>
          <w:rFonts w:ascii="Fira Sans" w:eastAsiaTheme="majorEastAsia" w:hAnsi="Fira Sans"/>
          <w:b w:val="0"/>
          <w:bCs w:val="0"/>
          <w:color w:val="000000"/>
          <w:sz w:val="23"/>
          <w:szCs w:val="23"/>
          <w:bdr w:val="none" w:sz="0" w:space="0" w:color="auto" w:frame="1"/>
        </w:rPr>
        <w:t>datori di lavoro</w:t>
      </w:r>
      <w:r>
        <w:rPr>
          <w:rFonts w:ascii="Fira Sans" w:hAnsi="Fira Sans"/>
          <w:color w:val="000000"/>
          <w:sz w:val="23"/>
          <w:szCs w:val="23"/>
        </w:rPr>
        <w:t> sono chiamati a riconoscere il bonus </w:t>
      </w:r>
      <w:r>
        <w:rPr>
          <w:rStyle w:val="Enfasigrassetto"/>
          <w:rFonts w:ascii="Fira Sans" w:eastAsiaTheme="majorEastAsia" w:hAnsi="Fira Sans"/>
          <w:b w:val="0"/>
          <w:bCs w:val="0"/>
          <w:color w:val="000000"/>
          <w:sz w:val="23"/>
          <w:szCs w:val="23"/>
          <w:bdr w:val="none" w:sz="0" w:space="0" w:color="auto" w:frame="1"/>
        </w:rPr>
        <w:t>in via automatica</w:t>
      </w:r>
      <w:r>
        <w:rPr>
          <w:rFonts w:ascii="Fira Sans" w:hAnsi="Fira Sans"/>
          <w:color w:val="000000"/>
          <w:sz w:val="23"/>
          <w:szCs w:val="23"/>
        </w:rPr>
        <w:t xml:space="preserve"> ai propri lavoratori subordinati. La bozza del </w:t>
      </w:r>
      <w:proofErr w:type="gramStart"/>
      <w:r>
        <w:rPr>
          <w:rFonts w:ascii="Fira Sans" w:hAnsi="Fira Sans"/>
          <w:color w:val="000000"/>
          <w:sz w:val="23"/>
          <w:szCs w:val="23"/>
        </w:rPr>
        <w:t>decreto legge</w:t>
      </w:r>
      <w:proofErr w:type="gramEnd"/>
      <w:r>
        <w:rPr>
          <w:rFonts w:ascii="Fira Sans" w:hAnsi="Fira Sans"/>
          <w:color w:val="000000"/>
          <w:sz w:val="23"/>
          <w:szCs w:val="23"/>
        </w:rPr>
        <w:t xml:space="preserve"> prevede però che, qualora in sede di conguaglio dovesse emergere la </w:t>
      </w:r>
      <w:r>
        <w:rPr>
          <w:rStyle w:val="Enfasigrassetto"/>
          <w:rFonts w:ascii="Fira Sans" w:eastAsiaTheme="majorEastAsia" w:hAnsi="Fira Sans"/>
          <w:b w:val="0"/>
          <w:bCs w:val="0"/>
          <w:color w:val="000000"/>
          <w:sz w:val="23"/>
          <w:szCs w:val="23"/>
          <w:bdr w:val="none" w:sz="0" w:space="0" w:color="auto" w:frame="1"/>
        </w:rPr>
        <w:t>non spettanza</w:t>
      </w:r>
      <w:r>
        <w:rPr>
          <w:rFonts w:ascii="Fira Sans" w:hAnsi="Fira Sans"/>
          <w:color w:val="000000"/>
          <w:sz w:val="23"/>
          <w:szCs w:val="23"/>
        </w:rPr>
        <w:t> per superamento del limite reddituale, l’azienda provvederà al </w:t>
      </w:r>
      <w:r>
        <w:rPr>
          <w:rStyle w:val="Enfasigrassetto"/>
          <w:rFonts w:ascii="Fira Sans" w:eastAsiaTheme="majorEastAsia" w:hAnsi="Fira Sans"/>
          <w:b w:val="0"/>
          <w:bCs w:val="0"/>
          <w:color w:val="000000"/>
          <w:sz w:val="23"/>
          <w:szCs w:val="23"/>
          <w:bdr w:val="none" w:sz="0" w:space="0" w:color="auto" w:frame="1"/>
        </w:rPr>
        <w:t>recupero</w:t>
      </w:r>
      <w:r>
        <w:rPr>
          <w:rFonts w:ascii="Fira Sans" w:hAnsi="Fira Sans"/>
          <w:color w:val="000000"/>
          <w:sz w:val="23"/>
          <w:szCs w:val="23"/>
        </w:rPr>
        <w:t> di quanto erogato in </w:t>
      </w:r>
      <w:r>
        <w:rPr>
          <w:rStyle w:val="Enfasigrassetto"/>
          <w:rFonts w:ascii="Fira Sans" w:eastAsiaTheme="majorEastAsia" w:hAnsi="Fira Sans"/>
          <w:b w:val="0"/>
          <w:bCs w:val="0"/>
          <w:color w:val="000000"/>
          <w:sz w:val="23"/>
          <w:szCs w:val="23"/>
          <w:bdr w:val="none" w:sz="0" w:space="0" w:color="auto" w:frame="1"/>
        </w:rPr>
        <w:t>unica soluzione</w:t>
      </w:r>
      <w:r>
        <w:rPr>
          <w:rFonts w:ascii="Fira Sans" w:hAnsi="Fira Sans"/>
          <w:color w:val="000000"/>
          <w:sz w:val="23"/>
          <w:szCs w:val="23"/>
        </w:rPr>
        <w:t> o in </w:t>
      </w:r>
      <w:r>
        <w:rPr>
          <w:rStyle w:val="Enfasigrassetto"/>
          <w:rFonts w:ascii="Fira Sans" w:eastAsiaTheme="majorEastAsia" w:hAnsi="Fira Sans"/>
          <w:b w:val="0"/>
          <w:bCs w:val="0"/>
          <w:color w:val="000000"/>
          <w:sz w:val="23"/>
          <w:szCs w:val="23"/>
          <w:bdr w:val="none" w:sz="0" w:space="0" w:color="auto" w:frame="1"/>
        </w:rPr>
        <w:t>8 rate mensili</w:t>
      </w:r>
      <w:r>
        <w:rPr>
          <w:rFonts w:ascii="Fira Sans" w:hAnsi="Fira Sans"/>
          <w:color w:val="000000"/>
          <w:sz w:val="23"/>
          <w:szCs w:val="23"/>
        </w:rPr>
        <w:t> a decorrere da dicembre 2022. La gestione del bonus dunque pare essere, nelle intenzioni del legislatore, del tutto assimilata a quella già operativa per il trattamento integrativo IRPEF.</w:t>
      </w:r>
    </w:p>
    <w:p w14:paraId="31FC5D64"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Ne deriva che, a parere di chi scrive, analogamente a quanto già operato per il riconoscimento dello sgravio contributivo sulla quota dei lavoratori subordinati, sarà necessario effettuare una </w:t>
      </w:r>
      <w:r>
        <w:rPr>
          <w:rStyle w:val="Enfasigrassetto"/>
          <w:rFonts w:ascii="Fira Sans" w:eastAsiaTheme="majorEastAsia" w:hAnsi="Fira Sans"/>
          <w:b w:val="0"/>
          <w:bCs w:val="0"/>
          <w:color w:val="000000"/>
          <w:sz w:val="23"/>
          <w:szCs w:val="23"/>
          <w:bdr w:val="none" w:sz="0" w:space="0" w:color="auto" w:frame="1"/>
        </w:rPr>
        <w:t>valutazione presuntiva</w:t>
      </w:r>
      <w:r>
        <w:rPr>
          <w:rFonts w:ascii="Fira Sans" w:hAnsi="Fira Sans"/>
          <w:color w:val="000000"/>
          <w:sz w:val="23"/>
          <w:szCs w:val="23"/>
        </w:rPr>
        <w:t> del </w:t>
      </w:r>
      <w:r>
        <w:rPr>
          <w:rStyle w:val="Enfasigrassetto"/>
          <w:rFonts w:ascii="Fira Sans" w:eastAsiaTheme="majorEastAsia" w:hAnsi="Fira Sans"/>
          <w:b w:val="0"/>
          <w:bCs w:val="0"/>
          <w:color w:val="000000"/>
          <w:sz w:val="23"/>
          <w:szCs w:val="23"/>
          <w:bdr w:val="none" w:sz="0" w:space="0" w:color="auto" w:frame="1"/>
        </w:rPr>
        <w:t>reddito complessivo annuo</w:t>
      </w:r>
      <w:r>
        <w:rPr>
          <w:rFonts w:ascii="Fira Sans" w:hAnsi="Fira Sans"/>
          <w:color w:val="000000"/>
          <w:sz w:val="23"/>
          <w:szCs w:val="23"/>
        </w:rPr>
        <w:t> che sarà prodotto da ciascun dipendente e poi procedere alla relativa verifica al termine del 2022, quando il reddito complessivo sarà divenuto un dato certo.</w:t>
      </w:r>
    </w:p>
    <w:p w14:paraId="39978851"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L’importo erogato in busta paga dal sostituto d’imposta sarà dunque esposto in compensazione in F24 con apposito codice tributo di prossima istituzione.</w:t>
      </w:r>
    </w:p>
    <w:p w14:paraId="05554DBE" w14:textId="77777777" w:rsidR="00461DF3" w:rsidRDefault="00461DF3" w:rsidP="00461DF3">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t>Lavoratori autonomi e professionisti</w:t>
      </w:r>
    </w:p>
    <w:p w14:paraId="34941BFC"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 lavoratori autonomi e i liberi professionisti iscritti alle </w:t>
      </w:r>
      <w:r>
        <w:rPr>
          <w:rStyle w:val="Enfasigrassetto"/>
          <w:rFonts w:ascii="Fira Sans" w:eastAsiaTheme="majorEastAsia" w:hAnsi="Fira Sans"/>
          <w:b w:val="0"/>
          <w:bCs w:val="0"/>
          <w:color w:val="000000"/>
          <w:sz w:val="23"/>
          <w:szCs w:val="23"/>
          <w:bdr w:val="none" w:sz="0" w:space="0" w:color="auto" w:frame="1"/>
        </w:rPr>
        <w:t>casse previdenziali</w:t>
      </w:r>
      <w:r>
        <w:rPr>
          <w:rFonts w:ascii="Fira Sans" w:hAnsi="Fira Sans"/>
          <w:color w:val="000000"/>
          <w:sz w:val="23"/>
          <w:szCs w:val="23"/>
        </w:rPr>
        <w:t> o alla </w:t>
      </w:r>
      <w:r>
        <w:rPr>
          <w:rStyle w:val="Enfasigrassetto"/>
          <w:rFonts w:ascii="Fira Sans" w:eastAsiaTheme="majorEastAsia" w:hAnsi="Fira Sans"/>
          <w:b w:val="0"/>
          <w:bCs w:val="0"/>
          <w:color w:val="000000"/>
          <w:sz w:val="23"/>
          <w:szCs w:val="23"/>
          <w:bdr w:val="none" w:sz="0" w:space="0" w:color="auto" w:frame="1"/>
        </w:rPr>
        <w:t>gestione separata Inps </w:t>
      </w:r>
      <w:r>
        <w:rPr>
          <w:rFonts w:ascii="Fira Sans" w:hAnsi="Fira Sans"/>
          <w:color w:val="000000"/>
          <w:sz w:val="23"/>
          <w:szCs w:val="23"/>
        </w:rPr>
        <w:t>che abbiano redditi fino a 35 mila euro riceveranno il contributo. Le modalità di erogazione saranno stabilite con uno specifico decreto del Ministro del Lavoro.</w:t>
      </w:r>
    </w:p>
    <w:p w14:paraId="31026199" w14:textId="77777777" w:rsidR="00461DF3" w:rsidRDefault="00461DF3" w:rsidP="00461DF3">
      <w:pPr>
        <w:pStyle w:val="Titolo2"/>
        <w:shd w:val="clear" w:color="auto" w:fill="FFFFFF"/>
        <w:spacing w:before="450" w:after="375" w:line="360" w:lineRule="atLeast"/>
        <w:textAlignment w:val="baseline"/>
        <w:rPr>
          <w:rFonts w:ascii="Fira Sans" w:hAnsi="Fira Sans"/>
          <w:color w:val="000000"/>
          <w:sz w:val="27"/>
          <w:szCs w:val="27"/>
        </w:rPr>
      </w:pPr>
      <w:r>
        <w:rPr>
          <w:rFonts w:ascii="Fira Sans" w:hAnsi="Fira Sans"/>
          <w:b/>
          <w:bCs/>
          <w:color w:val="000000"/>
          <w:sz w:val="27"/>
          <w:szCs w:val="27"/>
        </w:rPr>
        <w:lastRenderedPageBreak/>
        <w:t>Misure 2022 già in vigore</w:t>
      </w:r>
    </w:p>
    <w:p w14:paraId="4366F642"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Le novità previste dalla L. n. 234/2021, in vigore dal 1° gennaio 2022, prevedono:</w:t>
      </w:r>
    </w:p>
    <w:p w14:paraId="4E929456"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1) la </w:t>
      </w:r>
      <w:r>
        <w:rPr>
          <w:rStyle w:val="Enfasigrassetto"/>
          <w:rFonts w:ascii="Fira Sans" w:eastAsiaTheme="majorEastAsia" w:hAnsi="Fira Sans"/>
          <w:b w:val="0"/>
          <w:bCs w:val="0"/>
          <w:color w:val="000000"/>
          <w:sz w:val="23"/>
          <w:szCs w:val="23"/>
          <w:bdr w:val="none" w:sz="0" w:space="0" w:color="auto" w:frame="1"/>
        </w:rPr>
        <w:t>rimodulazione </w:t>
      </w:r>
      <w:r>
        <w:rPr>
          <w:rFonts w:ascii="Fira Sans" w:hAnsi="Fira Sans"/>
          <w:color w:val="000000"/>
          <w:sz w:val="23"/>
          <w:szCs w:val="23"/>
        </w:rPr>
        <w:t>degli</w:t>
      </w:r>
      <w:r>
        <w:rPr>
          <w:rStyle w:val="Enfasigrassetto"/>
          <w:rFonts w:ascii="Fira Sans" w:eastAsiaTheme="majorEastAsia" w:hAnsi="Fira Sans"/>
          <w:b w:val="0"/>
          <w:bCs w:val="0"/>
          <w:color w:val="000000"/>
          <w:sz w:val="23"/>
          <w:szCs w:val="23"/>
          <w:bdr w:val="none" w:sz="0" w:space="0" w:color="auto" w:frame="1"/>
        </w:rPr>
        <w:t> scaglioni dell’imposta e la modifica delle aliquote dell'IRPEF</w:t>
      </w:r>
      <w:r>
        <w:rPr>
          <w:rFonts w:ascii="Fira Sans" w:hAnsi="Fira Sans"/>
          <w:color w:val="000000"/>
          <w:sz w:val="23"/>
          <w:szCs w:val="23"/>
        </w:rPr>
        <w:t>: dal 1° gennaio 2022 gli scaglioni da cinque scendono a quattro a cui corrispondono le seguenti aliquote:</w:t>
      </w:r>
    </w:p>
    <w:p w14:paraId="68517B62"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fino a 15.000 euro, 23 per cento;</w:t>
      </w:r>
    </w:p>
    <w:p w14:paraId="18F75E22"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oltre 15.000 euro e fino a 28.000 euro, 25 per cento;</w:t>
      </w:r>
    </w:p>
    <w:p w14:paraId="64E2F7AB"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oltre 28.000 euro e fino a 50.000 euro, 35 per cento;</w:t>
      </w:r>
    </w:p>
    <w:p w14:paraId="72445999"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oltre 50.000 euro, 43 per cento.</w:t>
      </w:r>
    </w:p>
    <w:p w14:paraId="432E33CC"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2) la </w:t>
      </w:r>
      <w:r>
        <w:rPr>
          <w:rStyle w:val="Enfasigrassetto"/>
          <w:rFonts w:ascii="Fira Sans" w:eastAsiaTheme="majorEastAsia" w:hAnsi="Fira Sans"/>
          <w:b w:val="0"/>
          <w:bCs w:val="0"/>
          <w:color w:val="000000"/>
          <w:sz w:val="23"/>
          <w:szCs w:val="23"/>
          <w:bdr w:val="none" w:sz="0" w:space="0" w:color="auto" w:frame="1"/>
        </w:rPr>
        <w:t>modifica </w:t>
      </w:r>
      <w:r>
        <w:rPr>
          <w:rFonts w:ascii="Fira Sans" w:hAnsi="Fira Sans"/>
          <w:color w:val="000000"/>
          <w:sz w:val="23"/>
          <w:szCs w:val="23"/>
        </w:rPr>
        <w:t>della</w:t>
      </w:r>
      <w:r>
        <w:rPr>
          <w:rStyle w:val="Enfasigrassetto"/>
          <w:rFonts w:ascii="Fira Sans" w:eastAsiaTheme="majorEastAsia" w:hAnsi="Fira Sans"/>
          <w:b w:val="0"/>
          <w:bCs w:val="0"/>
          <w:color w:val="000000"/>
          <w:sz w:val="23"/>
          <w:szCs w:val="23"/>
          <w:bdr w:val="none" w:sz="0" w:space="0" w:color="auto" w:frame="1"/>
        </w:rPr>
        <w:t> misura e delle modalità di calcolo delle detrazioni di lavoro</w:t>
      </w:r>
      <w:r>
        <w:rPr>
          <w:rFonts w:ascii="Fira Sans" w:hAnsi="Fira Sans"/>
          <w:color w:val="000000"/>
          <w:sz w:val="23"/>
          <w:szCs w:val="23"/>
        </w:rPr>
        <w:t> per i redditi di lavoro dipendente, per i redditi assimilati a quelli di lavoro dipendente ed altri redditi, e per quelli di pensione. La detrazione dall'imposta lorda da quest’anno è pari a:</w:t>
      </w:r>
    </w:p>
    <w:p w14:paraId="5E8604A1"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- 1.880 euro, se il reddito complessivo non supera 15.000 euro. L’ammontare della detrazione effettivamente spettante non può essere inferiore a 690 euro. Per i rapporti di lavoro a tempo determinato, l’ammontare della detrazione effettivamente spettante non può essere inferiore a 1.380 euro;</w:t>
      </w:r>
    </w:p>
    <w:p w14:paraId="566C876D"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- 1.910 euro, aumentata del prodotto tra 1.190 euro e l’importo corrispondente al rapporto tra 28.000 euro, diminuito del reddito complessivo, e 13.000 euro, se l’ammontare del reddito complessivo è superiore a 15.000 euro ma non a 28.000 euro;</w:t>
      </w:r>
    </w:p>
    <w:p w14:paraId="1C9452DE"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- 1.910 euro, se il reddito complessivo è superiore a 28.000 euro ma non a 50.000 euro; la detrazione spetta per la parte corrispondente al rapporto tra l’importo di 50.000 euro, diminuito del reddito complessivo, e l’importo di 22.000 euro.</w:t>
      </w:r>
    </w:p>
    <w:p w14:paraId="013BC234" w14:textId="77777777" w:rsidR="00461DF3" w:rsidRDefault="00461DF3" w:rsidP="00461DF3">
      <w:pPr>
        <w:shd w:val="clear" w:color="auto" w:fill="FFFFFF"/>
        <w:spacing w:line="315" w:lineRule="atLeast"/>
        <w:textAlignment w:val="baseline"/>
        <w:rPr>
          <w:rFonts w:ascii="Fira Sans" w:hAnsi="Fira Sans"/>
          <w:color w:val="000000"/>
          <w:sz w:val="23"/>
          <w:szCs w:val="23"/>
        </w:rPr>
      </w:pPr>
      <w:proofErr w:type="gramStart"/>
      <w:r>
        <w:rPr>
          <w:rFonts w:ascii="Fira Sans" w:hAnsi="Fira Sans"/>
          <w:color w:val="000000"/>
          <w:sz w:val="23"/>
          <w:szCs w:val="23"/>
        </w:rPr>
        <w:t>E’</w:t>
      </w:r>
      <w:proofErr w:type="gramEnd"/>
      <w:r>
        <w:rPr>
          <w:rFonts w:ascii="Fira Sans" w:hAnsi="Fira Sans"/>
          <w:color w:val="000000"/>
          <w:sz w:val="23"/>
          <w:szCs w:val="23"/>
        </w:rPr>
        <w:t xml:space="preserve"> altresì previsto un aumento della detrazione, in misura pari a 65 euro, se il reddito complessivo è superiore a 25.000 euro ma non a 35.000 euro.</w:t>
      </w:r>
    </w:p>
    <w:p w14:paraId="6C95F72A"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3) la </w:t>
      </w:r>
      <w:r>
        <w:rPr>
          <w:rStyle w:val="Enfasigrassetto"/>
          <w:rFonts w:ascii="Fira Sans" w:eastAsiaTheme="majorEastAsia" w:hAnsi="Fira Sans"/>
          <w:b w:val="0"/>
          <w:bCs w:val="0"/>
          <w:color w:val="000000"/>
          <w:sz w:val="23"/>
          <w:szCs w:val="23"/>
          <w:bdr w:val="none" w:sz="0" w:space="0" w:color="auto" w:frame="1"/>
        </w:rPr>
        <w:t>modifica </w:t>
      </w:r>
      <w:r>
        <w:rPr>
          <w:rFonts w:ascii="Fira Sans" w:hAnsi="Fira Sans"/>
          <w:color w:val="000000"/>
          <w:sz w:val="23"/>
          <w:szCs w:val="23"/>
        </w:rPr>
        <w:t>della</w:t>
      </w:r>
      <w:r>
        <w:rPr>
          <w:rStyle w:val="Enfasigrassetto"/>
          <w:rFonts w:ascii="Fira Sans" w:eastAsiaTheme="majorEastAsia" w:hAnsi="Fira Sans"/>
          <w:b w:val="0"/>
          <w:bCs w:val="0"/>
          <w:color w:val="000000"/>
          <w:sz w:val="23"/>
          <w:szCs w:val="23"/>
          <w:bdr w:val="none" w:sz="0" w:space="0" w:color="auto" w:frame="1"/>
        </w:rPr>
        <w:t> disciplina del trattamento integrativo all’IRPEF</w:t>
      </w:r>
      <w:r>
        <w:rPr>
          <w:rFonts w:ascii="Fira Sans" w:hAnsi="Fira Sans"/>
          <w:color w:val="000000"/>
          <w:sz w:val="23"/>
          <w:szCs w:val="23"/>
        </w:rPr>
        <w:t>, che spetta in misura piena ai soggetti il cui reddito non supera i 15.000 euro. Se il reddito complessivo supera tale limite ma comunque fino ad un massimo di 28.000 euro, il bonus spetta unicamente a condizione che la somma delle seguenti detrazioni previste dal TUIR siano di ammontare superiore all’imposta lorda.</w:t>
      </w:r>
    </w:p>
    <w:p w14:paraId="503801E4"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In questo caso, il trattamento integrativo è riconosciuto per un ammontare, comunque non superiore a 1.200 euro, determinato in misura pari alla differenza tra la somma delle detrazioni ivi elencate e l’imposta lorda.</w:t>
      </w:r>
    </w:p>
    <w:p w14:paraId="0FAD61F8" w14:textId="77777777" w:rsidR="00461DF3" w:rsidRDefault="00461DF3" w:rsidP="00461DF3">
      <w:pPr>
        <w:shd w:val="clear" w:color="auto" w:fill="FFFFFF"/>
        <w:spacing w:line="315" w:lineRule="atLeast"/>
        <w:textAlignment w:val="baseline"/>
        <w:rPr>
          <w:rFonts w:ascii="Fira Sans" w:hAnsi="Fira Sans"/>
          <w:color w:val="000000"/>
          <w:sz w:val="23"/>
          <w:szCs w:val="23"/>
        </w:rPr>
      </w:pPr>
      <w:r>
        <w:rPr>
          <w:rFonts w:ascii="Fira Sans" w:hAnsi="Fira Sans"/>
          <w:color w:val="000000"/>
          <w:sz w:val="23"/>
          <w:szCs w:val="23"/>
        </w:rPr>
        <w:t>4) l’</w:t>
      </w:r>
      <w:r>
        <w:rPr>
          <w:rStyle w:val="Enfasigrassetto"/>
          <w:rFonts w:ascii="Fira Sans" w:eastAsiaTheme="majorEastAsia" w:hAnsi="Fira Sans"/>
          <w:b w:val="0"/>
          <w:bCs w:val="0"/>
          <w:color w:val="000000"/>
          <w:sz w:val="23"/>
          <w:szCs w:val="23"/>
          <w:bdr w:val="none" w:sz="0" w:space="0" w:color="auto" w:frame="1"/>
        </w:rPr>
        <w:t>esonero contributivo </w:t>
      </w:r>
      <w:r>
        <w:rPr>
          <w:rFonts w:ascii="Fira Sans" w:hAnsi="Fira Sans"/>
          <w:color w:val="000000"/>
          <w:sz w:val="23"/>
          <w:szCs w:val="23"/>
        </w:rPr>
        <w:t>dei </w:t>
      </w:r>
      <w:r>
        <w:rPr>
          <w:rStyle w:val="Enfasigrassetto"/>
          <w:rFonts w:ascii="Fira Sans" w:eastAsiaTheme="majorEastAsia" w:hAnsi="Fira Sans"/>
          <w:b w:val="0"/>
          <w:bCs w:val="0"/>
          <w:color w:val="000000"/>
          <w:sz w:val="23"/>
          <w:szCs w:val="23"/>
          <w:bdr w:val="none" w:sz="0" w:space="0" w:color="auto" w:frame="1"/>
        </w:rPr>
        <w:t>contributi previdenziali a carico dei lavoratori</w:t>
      </w:r>
      <w:r>
        <w:rPr>
          <w:rFonts w:ascii="Fira Sans" w:hAnsi="Fira Sans"/>
          <w:color w:val="000000"/>
          <w:sz w:val="23"/>
          <w:szCs w:val="23"/>
        </w:rPr>
        <w:t>: per i periodi di paga dal 1° gennaio 2022 al 31 dicembre 2022, un esonero sulla quota dei contributi previdenziali per l’invalidità, la vecchiaia e i superstiti a carico del lavoratore di </w:t>
      </w:r>
      <w:r>
        <w:rPr>
          <w:rStyle w:val="Enfasigrassetto"/>
          <w:rFonts w:ascii="Fira Sans" w:eastAsiaTheme="majorEastAsia" w:hAnsi="Fira Sans"/>
          <w:b w:val="0"/>
          <w:bCs w:val="0"/>
          <w:color w:val="000000"/>
          <w:sz w:val="23"/>
          <w:szCs w:val="23"/>
          <w:bdr w:val="none" w:sz="0" w:space="0" w:color="auto" w:frame="1"/>
        </w:rPr>
        <w:t>0,8 punti percentuali</w:t>
      </w:r>
      <w:r>
        <w:rPr>
          <w:rFonts w:ascii="Fira Sans" w:hAnsi="Fira Sans"/>
          <w:color w:val="000000"/>
          <w:sz w:val="23"/>
          <w:szCs w:val="23"/>
        </w:rPr>
        <w:t xml:space="preserve">, ferma restando l’aliquota di computo delle prestazioni pensionistiche. L’agevolazione contributiva riguarda esclusivamente i rapporti di lavoro dipendente, con </w:t>
      </w:r>
      <w:r>
        <w:rPr>
          <w:rFonts w:ascii="Fira Sans" w:hAnsi="Fira Sans"/>
          <w:color w:val="000000"/>
          <w:sz w:val="23"/>
          <w:szCs w:val="23"/>
        </w:rPr>
        <w:lastRenderedPageBreak/>
        <w:t>esclusione dei rapporti di lavoro domestico, a condizione che la retribuzione imponibile, parametrata su base mensile per tredici mensilità, non ecceda l’importo mensile di 2.692 euro, maggiorato, per la competenza del mese di dicembre, del rateo di tredicesima (per un totale di 35.000 euro annui).</w:t>
      </w:r>
    </w:p>
    <w:sectPr w:rsidR="00461DF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58D92" w14:textId="77777777" w:rsidR="00D16F60" w:rsidRDefault="00D16F60">
      <w:r>
        <w:separator/>
      </w:r>
    </w:p>
  </w:endnote>
  <w:endnote w:type="continuationSeparator" w:id="0">
    <w:p w14:paraId="3242F7BA" w14:textId="77777777" w:rsidR="00D16F60" w:rsidRDefault="00D1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BFDE"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536F90B2"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7A0EEFD3"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2A1378D3"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480F0434"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94D9" w14:textId="77777777" w:rsidR="00D16F60" w:rsidRDefault="00D16F60">
      <w:r>
        <w:separator/>
      </w:r>
    </w:p>
  </w:footnote>
  <w:footnote w:type="continuationSeparator" w:id="0">
    <w:p w14:paraId="7E3297EA" w14:textId="77777777" w:rsidR="00D16F60" w:rsidRDefault="00D1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BE09" w14:textId="77777777" w:rsidR="005E2050" w:rsidRDefault="00090742">
    <w:pPr>
      <w:pStyle w:val="Intestazione"/>
    </w:pPr>
    <w:r>
      <w:rPr>
        <w:noProof/>
      </w:rPr>
      <w:drawing>
        <wp:anchor distT="0" distB="0" distL="114300" distR="114300" simplePos="0" relativeHeight="251657728" behindDoc="0" locked="0" layoutInCell="1" allowOverlap="1" wp14:anchorId="66519CCF" wp14:editId="63F9960D">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02B7A" w14:textId="77777777" w:rsidR="005E2050" w:rsidRDefault="005E2050">
    <w:pPr>
      <w:pStyle w:val="Intestazione"/>
    </w:pPr>
  </w:p>
  <w:p w14:paraId="14909062" w14:textId="77777777" w:rsidR="005E2050" w:rsidRDefault="005E2050">
    <w:pPr>
      <w:pStyle w:val="Intestazione"/>
    </w:pPr>
  </w:p>
  <w:p w14:paraId="08FFC7C3" w14:textId="77777777" w:rsidR="005E2050" w:rsidRDefault="005E2050" w:rsidP="0051460C">
    <w:pPr>
      <w:pStyle w:val="Intestazione"/>
      <w:tabs>
        <w:tab w:val="clear" w:pos="4819"/>
        <w:tab w:val="clear" w:pos="9638"/>
      </w:tabs>
      <w:jc w:val="center"/>
    </w:pPr>
    <w:r>
      <w:t>Professionisti d’Impresa</w:t>
    </w:r>
  </w:p>
  <w:p w14:paraId="579F343E" w14:textId="77777777" w:rsidR="005E2050" w:rsidRDefault="005E2050" w:rsidP="0051460C">
    <w:pPr>
      <w:pStyle w:val="Intestazione"/>
      <w:tabs>
        <w:tab w:val="left" w:pos="142"/>
        <w:tab w:val="left" w:pos="180"/>
      </w:tabs>
      <w:jc w:val="center"/>
    </w:pPr>
    <w:r>
      <w:t>Studio di Consulenza Societaria e Tributaria</w:t>
    </w:r>
  </w:p>
  <w:p w14:paraId="11A41567"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A97363"/>
    <w:multiLevelType w:val="multilevel"/>
    <w:tmpl w:val="B6B4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AEE6CFD"/>
    <w:multiLevelType w:val="multilevel"/>
    <w:tmpl w:val="01F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0"/>
  </w:num>
  <w:num w:numId="4">
    <w:abstractNumId w:val="4"/>
  </w:num>
  <w:num w:numId="5">
    <w:abstractNumId w:val="8"/>
  </w:num>
  <w:num w:numId="6">
    <w:abstractNumId w:val="2"/>
  </w:num>
  <w:num w:numId="7">
    <w:abstractNumId w:val="6"/>
  </w:num>
  <w:num w:numId="8">
    <w:abstractNumId w:val="0"/>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92CC6"/>
    <w:rsid w:val="002E35F2"/>
    <w:rsid w:val="002F7467"/>
    <w:rsid w:val="00423765"/>
    <w:rsid w:val="00447160"/>
    <w:rsid w:val="00461DF3"/>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45B1A"/>
    <w:rsid w:val="00B52F06"/>
    <w:rsid w:val="00B54C6E"/>
    <w:rsid w:val="00BB03EA"/>
    <w:rsid w:val="00C82D18"/>
    <w:rsid w:val="00CF1BE2"/>
    <w:rsid w:val="00D16F60"/>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DE7A7"/>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461D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461DF3"/>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461DF3"/>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461DF3"/>
    <w:rPr>
      <w:rFonts w:asciiTheme="majorHAnsi" w:eastAsiaTheme="majorEastAsia" w:hAnsiTheme="majorHAnsi" w:cstheme="majorBidi"/>
      <w:color w:val="1F4D78" w:themeColor="accent1" w:themeShade="7F"/>
      <w:sz w:val="24"/>
      <w:szCs w:val="24"/>
    </w:rPr>
  </w:style>
  <w:style w:type="paragraph" w:customStyle="1" w:styleId="author">
    <w:name w:val="author"/>
    <w:basedOn w:val="Normale"/>
    <w:rsid w:val="00461DF3"/>
    <w:pPr>
      <w:spacing w:before="100" w:beforeAutospacing="1" w:after="100" w:afterAutospacing="1"/>
    </w:pPr>
  </w:style>
  <w:style w:type="paragraph" w:customStyle="1" w:styleId="tag">
    <w:name w:val="tag"/>
    <w:basedOn w:val="Normale"/>
    <w:rsid w:val="00461DF3"/>
    <w:pPr>
      <w:spacing w:before="100" w:beforeAutospacing="1" w:after="100" w:afterAutospacing="1"/>
    </w:pPr>
  </w:style>
  <w:style w:type="paragraph" w:customStyle="1" w:styleId="read-later">
    <w:name w:val="read-later"/>
    <w:basedOn w:val="Normale"/>
    <w:rsid w:val="00461DF3"/>
    <w:pPr>
      <w:spacing w:before="100" w:beforeAutospacing="1" w:after="100" w:afterAutospacing="1"/>
    </w:pPr>
  </w:style>
  <w:style w:type="paragraph" w:customStyle="1" w:styleId="stampa">
    <w:name w:val="stampa"/>
    <w:basedOn w:val="Normale"/>
    <w:rsid w:val="00461DF3"/>
    <w:pPr>
      <w:spacing w:before="100" w:beforeAutospacing="1" w:after="100" w:afterAutospacing="1"/>
    </w:pPr>
  </w:style>
  <w:style w:type="paragraph" w:customStyle="1" w:styleId="pdf">
    <w:name w:val="pdf"/>
    <w:basedOn w:val="Normale"/>
    <w:rsid w:val="00461DF3"/>
    <w:pPr>
      <w:spacing w:before="100" w:beforeAutospacing="1" w:after="100" w:afterAutospacing="1"/>
    </w:pPr>
  </w:style>
  <w:style w:type="paragraph" w:customStyle="1" w:styleId="abstract">
    <w:name w:val="abstract"/>
    <w:basedOn w:val="Normale"/>
    <w:rsid w:val="00461D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19468753">
      <w:bodyDiv w:val="1"/>
      <w:marLeft w:val="0"/>
      <w:marRight w:val="0"/>
      <w:marTop w:val="0"/>
      <w:marBottom w:val="0"/>
      <w:divBdr>
        <w:top w:val="none" w:sz="0" w:space="0" w:color="auto"/>
        <w:left w:val="none" w:sz="0" w:space="0" w:color="auto"/>
        <w:bottom w:val="none" w:sz="0" w:space="0" w:color="auto"/>
        <w:right w:val="none" w:sz="0" w:space="0" w:color="auto"/>
      </w:divBdr>
      <w:divsChild>
        <w:div w:id="1213228317">
          <w:marLeft w:val="0"/>
          <w:marRight w:val="0"/>
          <w:marTop w:val="0"/>
          <w:marBottom w:val="15"/>
          <w:divBdr>
            <w:top w:val="none" w:sz="0" w:space="0" w:color="auto"/>
            <w:left w:val="none" w:sz="0" w:space="0" w:color="auto"/>
            <w:bottom w:val="none" w:sz="0" w:space="0" w:color="auto"/>
            <w:right w:val="none" w:sz="0" w:space="0" w:color="auto"/>
          </w:divBdr>
        </w:div>
        <w:div w:id="1611938476">
          <w:marLeft w:val="0"/>
          <w:marRight w:val="0"/>
          <w:marTop w:val="0"/>
          <w:marBottom w:val="270"/>
          <w:divBdr>
            <w:top w:val="none" w:sz="0" w:space="0" w:color="auto"/>
            <w:left w:val="none" w:sz="0" w:space="0" w:color="auto"/>
            <w:bottom w:val="none" w:sz="0" w:space="0" w:color="auto"/>
            <w:right w:val="none" w:sz="0" w:space="0" w:color="auto"/>
          </w:divBdr>
        </w:div>
        <w:div w:id="983776291">
          <w:marLeft w:val="0"/>
          <w:marRight w:val="0"/>
          <w:marTop w:val="0"/>
          <w:marBottom w:val="0"/>
          <w:divBdr>
            <w:top w:val="none" w:sz="0" w:space="0" w:color="auto"/>
            <w:left w:val="none" w:sz="0" w:space="0" w:color="auto"/>
            <w:bottom w:val="none" w:sz="0" w:space="0" w:color="auto"/>
            <w:right w:val="none" w:sz="0" w:space="0" w:color="auto"/>
          </w:divBdr>
          <w:divsChild>
            <w:div w:id="1314414204">
              <w:marLeft w:val="0"/>
              <w:marRight w:val="0"/>
              <w:marTop w:val="0"/>
              <w:marBottom w:val="0"/>
              <w:divBdr>
                <w:top w:val="none" w:sz="0" w:space="0" w:color="auto"/>
                <w:left w:val="none" w:sz="0" w:space="0" w:color="auto"/>
                <w:bottom w:val="none" w:sz="0" w:space="0" w:color="auto"/>
                <w:right w:val="none" w:sz="0" w:space="0" w:color="auto"/>
              </w:divBdr>
              <w:divsChild>
                <w:div w:id="1050884002">
                  <w:marLeft w:val="0"/>
                  <w:marRight w:val="0"/>
                  <w:marTop w:val="45"/>
                  <w:marBottom w:val="0"/>
                  <w:divBdr>
                    <w:top w:val="single" w:sz="6" w:space="11" w:color="000000"/>
                    <w:left w:val="none" w:sz="0" w:space="0" w:color="auto"/>
                    <w:bottom w:val="none" w:sz="0" w:space="0" w:color="auto"/>
                    <w:right w:val="none" w:sz="0" w:space="0" w:color="auto"/>
                  </w:divBdr>
                  <w:divsChild>
                    <w:div w:id="1319068100">
                      <w:marLeft w:val="0"/>
                      <w:marRight w:val="0"/>
                      <w:marTop w:val="75"/>
                      <w:marBottom w:val="0"/>
                      <w:divBdr>
                        <w:top w:val="none" w:sz="0" w:space="0" w:color="auto"/>
                        <w:left w:val="none" w:sz="0" w:space="0" w:color="auto"/>
                        <w:bottom w:val="none" w:sz="0" w:space="0" w:color="auto"/>
                        <w:right w:val="none" w:sz="0" w:space="0" w:color="auto"/>
                      </w:divBdr>
                      <w:divsChild>
                        <w:div w:id="6732628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16468618">
              <w:marLeft w:val="0"/>
              <w:marRight w:val="0"/>
              <w:marTop w:val="0"/>
              <w:marBottom w:val="0"/>
              <w:divBdr>
                <w:top w:val="none" w:sz="0" w:space="0" w:color="auto"/>
                <w:left w:val="none" w:sz="0" w:space="0" w:color="auto"/>
                <w:bottom w:val="none" w:sz="0" w:space="0" w:color="auto"/>
                <w:right w:val="none" w:sz="0" w:space="0" w:color="auto"/>
              </w:divBdr>
              <w:divsChild>
                <w:div w:id="1050307280">
                  <w:marLeft w:val="0"/>
                  <w:marRight w:val="0"/>
                  <w:marTop w:val="0"/>
                  <w:marBottom w:val="0"/>
                  <w:divBdr>
                    <w:top w:val="none" w:sz="0" w:space="0" w:color="auto"/>
                    <w:left w:val="none" w:sz="0" w:space="0" w:color="auto"/>
                    <w:bottom w:val="none" w:sz="0" w:space="0" w:color="auto"/>
                    <w:right w:val="none" w:sz="0" w:space="0" w:color="auto"/>
                  </w:divBdr>
                  <w:divsChild>
                    <w:div w:id="1694838902">
                      <w:marLeft w:val="0"/>
                      <w:marRight w:val="0"/>
                      <w:marTop w:val="0"/>
                      <w:marBottom w:val="300"/>
                      <w:divBdr>
                        <w:top w:val="none" w:sz="0" w:space="0" w:color="auto"/>
                        <w:left w:val="none" w:sz="0" w:space="0" w:color="auto"/>
                        <w:bottom w:val="none" w:sz="0" w:space="0" w:color="auto"/>
                        <w:right w:val="none" w:sz="0" w:space="0" w:color="auto"/>
                      </w:divBdr>
                      <w:divsChild>
                        <w:div w:id="1690325809">
                          <w:marLeft w:val="0"/>
                          <w:marRight w:val="0"/>
                          <w:marTop w:val="0"/>
                          <w:marBottom w:val="300"/>
                          <w:divBdr>
                            <w:top w:val="none" w:sz="0" w:space="0" w:color="auto"/>
                            <w:left w:val="none" w:sz="0" w:space="0" w:color="auto"/>
                            <w:bottom w:val="none" w:sz="0" w:space="0" w:color="auto"/>
                            <w:right w:val="none" w:sz="0" w:space="0" w:color="auto"/>
                          </w:divBdr>
                        </w:div>
                        <w:div w:id="779372789">
                          <w:marLeft w:val="0"/>
                          <w:marRight w:val="0"/>
                          <w:marTop w:val="0"/>
                          <w:marBottom w:val="300"/>
                          <w:divBdr>
                            <w:top w:val="none" w:sz="0" w:space="0" w:color="auto"/>
                            <w:left w:val="none" w:sz="0" w:space="0" w:color="auto"/>
                            <w:bottom w:val="none" w:sz="0" w:space="0" w:color="auto"/>
                            <w:right w:val="none" w:sz="0" w:space="0" w:color="auto"/>
                          </w:divBdr>
                        </w:div>
                        <w:div w:id="2037611650">
                          <w:marLeft w:val="0"/>
                          <w:marRight w:val="0"/>
                          <w:marTop w:val="0"/>
                          <w:marBottom w:val="300"/>
                          <w:divBdr>
                            <w:top w:val="none" w:sz="0" w:space="0" w:color="auto"/>
                            <w:left w:val="none" w:sz="0" w:space="0" w:color="auto"/>
                            <w:bottom w:val="none" w:sz="0" w:space="0" w:color="auto"/>
                            <w:right w:val="none" w:sz="0" w:space="0" w:color="auto"/>
                          </w:divBdr>
                        </w:div>
                        <w:div w:id="1187675668">
                          <w:marLeft w:val="0"/>
                          <w:marRight w:val="0"/>
                          <w:marTop w:val="0"/>
                          <w:marBottom w:val="300"/>
                          <w:divBdr>
                            <w:top w:val="none" w:sz="0" w:space="0" w:color="auto"/>
                            <w:left w:val="none" w:sz="0" w:space="0" w:color="auto"/>
                            <w:bottom w:val="none" w:sz="0" w:space="0" w:color="auto"/>
                            <w:right w:val="none" w:sz="0" w:space="0" w:color="auto"/>
                          </w:divBdr>
                        </w:div>
                        <w:div w:id="1674648870">
                          <w:marLeft w:val="0"/>
                          <w:marRight w:val="0"/>
                          <w:marTop w:val="0"/>
                          <w:marBottom w:val="300"/>
                          <w:divBdr>
                            <w:top w:val="none" w:sz="0" w:space="0" w:color="auto"/>
                            <w:left w:val="none" w:sz="0" w:space="0" w:color="auto"/>
                            <w:bottom w:val="none" w:sz="0" w:space="0" w:color="auto"/>
                            <w:right w:val="none" w:sz="0" w:space="0" w:color="auto"/>
                          </w:divBdr>
                        </w:div>
                        <w:div w:id="1552615283">
                          <w:marLeft w:val="0"/>
                          <w:marRight w:val="0"/>
                          <w:marTop w:val="0"/>
                          <w:marBottom w:val="300"/>
                          <w:divBdr>
                            <w:top w:val="none" w:sz="0" w:space="0" w:color="auto"/>
                            <w:left w:val="none" w:sz="0" w:space="0" w:color="auto"/>
                            <w:bottom w:val="none" w:sz="0" w:space="0" w:color="auto"/>
                            <w:right w:val="none" w:sz="0" w:space="0" w:color="auto"/>
                          </w:divBdr>
                        </w:div>
                        <w:div w:id="1550267799">
                          <w:marLeft w:val="0"/>
                          <w:marRight w:val="0"/>
                          <w:marTop w:val="0"/>
                          <w:marBottom w:val="300"/>
                          <w:divBdr>
                            <w:top w:val="none" w:sz="0" w:space="0" w:color="auto"/>
                            <w:left w:val="none" w:sz="0" w:space="0" w:color="auto"/>
                            <w:bottom w:val="none" w:sz="0" w:space="0" w:color="auto"/>
                            <w:right w:val="none" w:sz="0" w:space="0" w:color="auto"/>
                          </w:divBdr>
                        </w:div>
                        <w:div w:id="2131238250">
                          <w:marLeft w:val="0"/>
                          <w:marRight w:val="0"/>
                          <w:marTop w:val="0"/>
                          <w:marBottom w:val="300"/>
                          <w:divBdr>
                            <w:top w:val="none" w:sz="0" w:space="0" w:color="auto"/>
                            <w:left w:val="none" w:sz="0" w:space="0" w:color="auto"/>
                            <w:bottom w:val="none" w:sz="0" w:space="0" w:color="auto"/>
                            <w:right w:val="none" w:sz="0" w:space="0" w:color="auto"/>
                          </w:divBdr>
                        </w:div>
                        <w:div w:id="1804613039">
                          <w:marLeft w:val="0"/>
                          <w:marRight w:val="0"/>
                          <w:marTop w:val="0"/>
                          <w:marBottom w:val="300"/>
                          <w:divBdr>
                            <w:top w:val="none" w:sz="0" w:space="0" w:color="auto"/>
                            <w:left w:val="none" w:sz="0" w:space="0" w:color="auto"/>
                            <w:bottom w:val="none" w:sz="0" w:space="0" w:color="auto"/>
                            <w:right w:val="none" w:sz="0" w:space="0" w:color="auto"/>
                          </w:divBdr>
                        </w:div>
                        <w:div w:id="7220474">
                          <w:marLeft w:val="0"/>
                          <w:marRight w:val="0"/>
                          <w:marTop w:val="0"/>
                          <w:marBottom w:val="300"/>
                          <w:divBdr>
                            <w:top w:val="none" w:sz="0" w:space="0" w:color="auto"/>
                            <w:left w:val="none" w:sz="0" w:space="0" w:color="auto"/>
                            <w:bottom w:val="none" w:sz="0" w:space="0" w:color="auto"/>
                            <w:right w:val="none" w:sz="0" w:space="0" w:color="auto"/>
                          </w:divBdr>
                        </w:div>
                        <w:div w:id="152449794">
                          <w:marLeft w:val="0"/>
                          <w:marRight w:val="0"/>
                          <w:marTop w:val="0"/>
                          <w:marBottom w:val="300"/>
                          <w:divBdr>
                            <w:top w:val="none" w:sz="0" w:space="0" w:color="auto"/>
                            <w:left w:val="none" w:sz="0" w:space="0" w:color="auto"/>
                            <w:bottom w:val="none" w:sz="0" w:space="0" w:color="auto"/>
                            <w:right w:val="none" w:sz="0" w:space="0" w:color="auto"/>
                          </w:divBdr>
                        </w:div>
                        <w:div w:id="1497301087">
                          <w:marLeft w:val="0"/>
                          <w:marRight w:val="0"/>
                          <w:marTop w:val="0"/>
                          <w:marBottom w:val="300"/>
                          <w:divBdr>
                            <w:top w:val="none" w:sz="0" w:space="0" w:color="auto"/>
                            <w:left w:val="none" w:sz="0" w:space="0" w:color="auto"/>
                            <w:bottom w:val="none" w:sz="0" w:space="0" w:color="auto"/>
                            <w:right w:val="none" w:sz="0" w:space="0" w:color="auto"/>
                          </w:divBdr>
                        </w:div>
                        <w:div w:id="1113330928">
                          <w:marLeft w:val="0"/>
                          <w:marRight w:val="0"/>
                          <w:marTop w:val="0"/>
                          <w:marBottom w:val="300"/>
                          <w:divBdr>
                            <w:top w:val="none" w:sz="0" w:space="0" w:color="auto"/>
                            <w:left w:val="none" w:sz="0" w:space="0" w:color="auto"/>
                            <w:bottom w:val="none" w:sz="0" w:space="0" w:color="auto"/>
                            <w:right w:val="none" w:sz="0" w:space="0" w:color="auto"/>
                          </w:divBdr>
                        </w:div>
                        <w:div w:id="957759395">
                          <w:marLeft w:val="0"/>
                          <w:marRight w:val="0"/>
                          <w:marTop w:val="0"/>
                          <w:marBottom w:val="300"/>
                          <w:divBdr>
                            <w:top w:val="none" w:sz="0" w:space="0" w:color="auto"/>
                            <w:left w:val="none" w:sz="0" w:space="0" w:color="auto"/>
                            <w:bottom w:val="none" w:sz="0" w:space="0" w:color="auto"/>
                            <w:right w:val="none" w:sz="0" w:space="0" w:color="auto"/>
                          </w:divBdr>
                        </w:div>
                        <w:div w:id="1953703963">
                          <w:marLeft w:val="0"/>
                          <w:marRight w:val="0"/>
                          <w:marTop w:val="0"/>
                          <w:marBottom w:val="300"/>
                          <w:divBdr>
                            <w:top w:val="none" w:sz="0" w:space="0" w:color="auto"/>
                            <w:left w:val="none" w:sz="0" w:space="0" w:color="auto"/>
                            <w:bottom w:val="none" w:sz="0" w:space="0" w:color="auto"/>
                            <w:right w:val="none" w:sz="0" w:space="0" w:color="auto"/>
                          </w:divBdr>
                        </w:div>
                        <w:div w:id="551775923">
                          <w:marLeft w:val="0"/>
                          <w:marRight w:val="0"/>
                          <w:marTop w:val="0"/>
                          <w:marBottom w:val="300"/>
                          <w:divBdr>
                            <w:top w:val="none" w:sz="0" w:space="0" w:color="auto"/>
                            <w:left w:val="none" w:sz="0" w:space="0" w:color="auto"/>
                            <w:bottom w:val="none" w:sz="0" w:space="0" w:color="auto"/>
                            <w:right w:val="none" w:sz="0" w:space="0" w:color="auto"/>
                          </w:divBdr>
                        </w:div>
                        <w:div w:id="1598714995">
                          <w:marLeft w:val="0"/>
                          <w:marRight w:val="0"/>
                          <w:marTop w:val="0"/>
                          <w:marBottom w:val="300"/>
                          <w:divBdr>
                            <w:top w:val="none" w:sz="0" w:space="0" w:color="auto"/>
                            <w:left w:val="none" w:sz="0" w:space="0" w:color="auto"/>
                            <w:bottom w:val="none" w:sz="0" w:space="0" w:color="auto"/>
                            <w:right w:val="none" w:sz="0" w:space="0" w:color="auto"/>
                          </w:divBdr>
                        </w:div>
                        <w:div w:id="2109424993">
                          <w:marLeft w:val="0"/>
                          <w:marRight w:val="0"/>
                          <w:marTop w:val="0"/>
                          <w:marBottom w:val="300"/>
                          <w:divBdr>
                            <w:top w:val="none" w:sz="0" w:space="0" w:color="auto"/>
                            <w:left w:val="none" w:sz="0" w:space="0" w:color="auto"/>
                            <w:bottom w:val="none" w:sz="0" w:space="0" w:color="auto"/>
                            <w:right w:val="none" w:sz="0" w:space="0" w:color="auto"/>
                          </w:divBdr>
                        </w:div>
                        <w:div w:id="830407764">
                          <w:marLeft w:val="0"/>
                          <w:marRight w:val="0"/>
                          <w:marTop w:val="0"/>
                          <w:marBottom w:val="300"/>
                          <w:divBdr>
                            <w:top w:val="none" w:sz="0" w:space="0" w:color="auto"/>
                            <w:left w:val="none" w:sz="0" w:space="0" w:color="auto"/>
                            <w:bottom w:val="none" w:sz="0" w:space="0" w:color="auto"/>
                            <w:right w:val="none" w:sz="0" w:space="0" w:color="auto"/>
                          </w:divBdr>
                        </w:div>
                        <w:div w:id="403840285">
                          <w:marLeft w:val="0"/>
                          <w:marRight w:val="0"/>
                          <w:marTop w:val="0"/>
                          <w:marBottom w:val="300"/>
                          <w:divBdr>
                            <w:top w:val="none" w:sz="0" w:space="0" w:color="auto"/>
                            <w:left w:val="none" w:sz="0" w:space="0" w:color="auto"/>
                            <w:bottom w:val="none" w:sz="0" w:space="0" w:color="auto"/>
                            <w:right w:val="none" w:sz="0" w:space="0" w:color="auto"/>
                          </w:divBdr>
                        </w:div>
                        <w:div w:id="1844515564">
                          <w:marLeft w:val="0"/>
                          <w:marRight w:val="0"/>
                          <w:marTop w:val="0"/>
                          <w:marBottom w:val="300"/>
                          <w:divBdr>
                            <w:top w:val="none" w:sz="0" w:space="0" w:color="auto"/>
                            <w:left w:val="none" w:sz="0" w:space="0" w:color="auto"/>
                            <w:bottom w:val="none" w:sz="0" w:space="0" w:color="auto"/>
                            <w:right w:val="none" w:sz="0" w:space="0" w:color="auto"/>
                          </w:divBdr>
                        </w:div>
                        <w:div w:id="1980233">
                          <w:marLeft w:val="0"/>
                          <w:marRight w:val="0"/>
                          <w:marTop w:val="0"/>
                          <w:marBottom w:val="300"/>
                          <w:divBdr>
                            <w:top w:val="none" w:sz="0" w:space="0" w:color="auto"/>
                            <w:left w:val="none" w:sz="0" w:space="0" w:color="auto"/>
                            <w:bottom w:val="none" w:sz="0" w:space="0" w:color="auto"/>
                            <w:right w:val="none" w:sz="0" w:space="0" w:color="auto"/>
                          </w:divBdr>
                        </w:div>
                        <w:div w:id="205338698">
                          <w:marLeft w:val="0"/>
                          <w:marRight w:val="0"/>
                          <w:marTop w:val="0"/>
                          <w:marBottom w:val="300"/>
                          <w:divBdr>
                            <w:top w:val="none" w:sz="0" w:space="0" w:color="auto"/>
                            <w:left w:val="none" w:sz="0" w:space="0" w:color="auto"/>
                            <w:bottom w:val="none" w:sz="0" w:space="0" w:color="auto"/>
                            <w:right w:val="none" w:sz="0" w:space="0" w:color="auto"/>
                          </w:divBdr>
                        </w:div>
                        <w:div w:id="2115663091">
                          <w:marLeft w:val="0"/>
                          <w:marRight w:val="0"/>
                          <w:marTop w:val="0"/>
                          <w:marBottom w:val="300"/>
                          <w:divBdr>
                            <w:top w:val="none" w:sz="0" w:space="0" w:color="auto"/>
                            <w:left w:val="none" w:sz="0" w:space="0" w:color="auto"/>
                            <w:bottom w:val="none" w:sz="0" w:space="0" w:color="auto"/>
                            <w:right w:val="none" w:sz="0" w:space="0" w:color="auto"/>
                          </w:divBdr>
                        </w:div>
                        <w:div w:id="733702643">
                          <w:marLeft w:val="0"/>
                          <w:marRight w:val="0"/>
                          <w:marTop w:val="0"/>
                          <w:marBottom w:val="300"/>
                          <w:divBdr>
                            <w:top w:val="none" w:sz="0" w:space="0" w:color="auto"/>
                            <w:left w:val="none" w:sz="0" w:space="0" w:color="auto"/>
                            <w:bottom w:val="none" w:sz="0" w:space="0" w:color="auto"/>
                            <w:right w:val="none" w:sz="0" w:space="0" w:color="auto"/>
                          </w:divBdr>
                        </w:div>
                        <w:div w:id="863254371">
                          <w:marLeft w:val="0"/>
                          <w:marRight w:val="0"/>
                          <w:marTop w:val="0"/>
                          <w:marBottom w:val="300"/>
                          <w:divBdr>
                            <w:top w:val="none" w:sz="0" w:space="0" w:color="auto"/>
                            <w:left w:val="none" w:sz="0" w:space="0" w:color="auto"/>
                            <w:bottom w:val="none" w:sz="0" w:space="0" w:color="auto"/>
                            <w:right w:val="none" w:sz="0" w:space="0" w:color="auto"/>
                          </w:divBdr>
                        </w:div>
                        <w:div w:id="1496527829">
                          <w:marLeft w:val="0"/>
                          <w:marRight w:val="0"/>
                          <w:marTop w:val="0"/>
                          <w:marBottom w:val="300"/>
                          <w:divBdr>
                            <w:top w:val="none" w:sz="0" w:space="0" w:color="auto"/>
                            <w:left w:val="none" w:sz="0" w:space="0" w:color="auto"/>
                            <w:bottom w:val="none" w:sz="0" w:space="0" w:color="auto"/>
                            <w:right w:val="none" w:sz="0" w:space="0" w:color="auto"/>
                          </w:divBdr>
                        </w:div>
                        <w:div w:id="354770338">
                          <w:marLeft w:val="0"/>
                          <w:marRight w:val="0"/>
                          <w:marTop w:val="0"/>
                          <w:marBottom w:val="300"/>
                          <w:divBdr>
                            <w:top w:val="none" w:sz="0" w:space="0" w:color="auto"/>
                            <w:left w:val="none" w:sz="0" w:space="0" w:color="auto"/>
                            <w:bottom w:val="none" w:sz="0" w:space="0" w:color="auto"/>
                            <w:right w:val="none" w:sz="0" w:space="0" w:color="auto"/>
                          </w:divBdr>
                        </w:div>
                        <w:div w:id="977802033">
                          <w:marLeft w:val="0"/>
                          <w:marRight w:val="0"/>
                          <w:marTop w:val="0"/>
                          <w:marBottom w:val="300"/>
                          <w:divBdr>
                            <w:top w:val="none" w:sz="0" w:space="0" w:color="auto"/>
                            <w:left w:val="none" w:sz="0" w:space="0" w:color="auto"/>
                            <w:bottom w:val="none" w:sz="0" w:space="0" w:color="auto"/>
                            <w:right w:val="none" w:sz="0" w:space="0" w:color="auto"/>
                          </w:divBdr>
                        </w:div>
                        <w:div w:id="1176189465">
                          <w:marLeft w:val="0"/>
                          <w:marRight w:val="0"/>
                          <w:marTop w:val="0"/>
                          <w:marBottom w:val="300"/>
                          <w:divBdr>
                            <w:top w:val="none" w:sz="0" w:space="0" w:color="auto"/>
                            <w:left w:val="none" w:sz="0" w:space="0" w:color="auto"/>
                            <w:bottom w:val="none" w:sz="0" w:space="0" w:color="auto"/>
                            <w:right w:val="none" w:sz="0" w:space="0" w:color="auto"/>
                          </w:divBdr>
                        </w:div>
                        <w:div w:id="1794053214">
                          <w:marLeft w:val="0"/>
                          <w:marRight w:val="0"/>
                          <w:marTop w:val="0"/>
                          <w:marBottom w:val="300"/>
                          <w:divBdr>
                            <w:top w:val="none" w:sz="0" w:space="0" w:color="auto"/>
                            <w:left w:val="none" w:sz="0" w:space="0" w:color="auto"/>
                            <w:bottom w:val="none" w:sz="0" w:space="0" w:color="auto"/>
                            <w:right w:val="none" w:sz="0" w:space="0" w:color="auto"/>
                          </w:divBdr>
                        </w:div>
                        <w:div w:id="1732385593">
                          <w:marLeft w:val="0"/>
                          <w:marRight w:val="0"/>
                          <w:marTop w:val="0"/>
                          <w:marBottom w:val="300"/>
                          <w:divBdr>
                            <w:top w:val="none" w:sz="0" w:space="0" w:color="auto"/>
                            <w:left w:val="none" w:sz="0" w:space="0" w:color="auto"/>
                            <w:bottom w:val="none" w:sz="0" w:space="0" w:color="auto"/>
                            <w:right w:val="none" w:sz="0" w:space="0" w:color="auto"/>
                          </w:divBdr>
                        </w:div>
                        <w:div w:id="1943879025">
                          <w:marLeft w:val="0"/>
                          <w:marRight w:val="0"/>
                          <w:marTop w:val="0"/>
                          <w:marBottom w:val="300"/>
                          <w:divBdr>
                            <w:top w:val="none" w:sz="0" w:space="0" w:color="auto"/>
                            <w:left w:val="none" w:sz="0" w:space="0" w:color="auto"/>
                            <w:bottom w:val="none" w:sz="0" w:space="0" w:color="auto"/>
                            <w:right w:val="none" w:sz="0" w:space="0" w:color="auto"/>
                          </w:divBdr>
                        </w:div>
                        <w:div w:id="1093207948">
                          <w:marLeft w:val="0"/>
                          <w:marRight w:val="0"/>
                          <w:marTop w:val="0"/>
                          <w:marBottom w:val="300"/>
                          <w:divBdr>
                            <w:top w:val="none" w:sz="0" w:space="0" w:color="auto"/>
                            <w:left w:val="none" w:sz="0" w:space="0" w:color="auto"/>
                            <w:bottom w:val="none" w:sz="0" w:space="0" w:color="auto"/>
                            <w:right w:val="none" w:sz="0" w:space="0" w:color="auto"/>
                          </w:divBdr>
                        </w:div>
                        <w:div w:id="448551027">
                          <w:marLeft w:val="0"/>
                          <w:marRight w:val="0"/>
                          <w:marTop w:val="0"/>
                          <w:marBottom w:val="300"/>
                          <w:divBdr>
                            <w:top w:val="none" w:sz="0" w:space="0" w:color="auto"/>
                            <w:left w:val="none" w:sz="0" w:space="0" w:color="auto"/>
                            <w:bottom w:val="none" w:sz="0" w:space="0" w:color="auto"/>
                            <w:right w:val="none" w:sz="0" w:space="0" w:color="auto"/>
                          </w:divBdr>
                        </w:div>
                        <w:div w:id="1169444021">
                          <w:marLeft w:val="0"/>
                          <w:marRight w:val="0"/>
                          <w:marTop w:val="0"/>
                          <w:marBottom w:val="300"/>
                          <w:divBdr>
                            <w:top w:val="none" w:sz="0" w:space="0" w:color="auto"/>
                            <w:left w:val="none" w:sz="0" w:space="0" w:color="auto"/>
                            <w:bottom w:val="none" w:sz="0" w:space="0" w:color="auto"/>
                            <w:right w:val="none" w:sz="0" w:space="0" w:color="auto"/>
                          </w:divBdr>
                        </w:div>
                        <w:div w:id="1630864725">
                          <w:marLeft w:val="0"/>
                          <w:marRight w:val="0"/>
                          <w:marTop w:val="0"/>
                          <w:marBottom w:val="300"/>
                          <w:divBdr>
                            <w:top w:val="none" w:sz="0" w:space="0" w:color="auto"/>
                            <w:left w:val="none" w:sz="0" w:space="0" w:color="auto"/>
                            <w:bottom w:val="none" w:sz="0" w:space="0" w:color="auto"/>
                            <w:right w:val="none" w:sz="0" w:space="0" w:color="auto"/>
                          </w:divBdr>
                        </w:div>
                        <w:div w:id="581598756">
                          <w:marLeft w:val="0"/>
                          <w:marRight w:val="0"/>
                          <w:marTop w:val="0"/>
                          <w:marBottom w:val="300"/>
                          <w:divBdr>
                            <w:top w:val="none" w:sz="0" w:space="0" w:color="auto"/>
                            <w:left w:val="none" w:sz="0" w:space="0" w:color="auto"/>
                            <w:bottom w:val="none" w:sz="0" w:space="0" w:color="auto"/>
                            <w:right w:val="none" w:sz="0" w:space="0" w:color="auto"/>
                          </w:divBdr>
                        </w:div>
                        <w:div w:id="1446535955">
                          <w:marLeft w:val="0"/>
                          <w:marRight w:val="0"/>
                          <w:marTop w:val="0"/>
                          <w:marBottom w:val="300"/>
                          <w:divBdr>
                            <w:top w:val="none" w:sz="0" w:space="0" w:color="auto"/>
                            <w:left w:val="none" w:sz="0" w:space="0" w:color="auto"/>
                            <w:bottom w:val="none" w:sz="0" w:space="0" w:color="auto"/>
                            <w:right w:val="none" w:sz="0" w:space="0" w:color="auto"/>
                          </w:divBdr>
                        </w:div>
                        <w:div w:id="19829998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78173196">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1114</Words>
  <Characters>6356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13</cp:revision>
  <cp:lastPrinted>2012-01-11T15:32:00Z</cp:lastPrinted>
  <dcterms:created xsi:type="dcterms:W3CDTF">2015-03-23T10:52:00Z</dcterms:created>
  <dcterms:modified xsi:type="dcterms:W3CDTF">2022-05-08T14:17:00Z</dcterms:modified>
</cp:coreProperties>
</file>