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2586" w14:textId="6570D178" w:rsidR="00C14CD2" w:rsidRPr="00C14CD2" w:rsidRDefault="00C14CD2" w:rsidP="00C14CD2">
      <w:pPr>
        <w:shd w:val="clear" w:color="auto" w:fill="FFFFFF"/>
        <w:spacing w:line="270" w:lineRule="atLeast"/>
        <w:textAlignment w:val="baseline"/>
        <w:rPr>
          <w:rFonts w:ascii="Arial" w:hAnsi="Arial" w:cs="Arial"/>
          <w:caps/>
          <w:color w:val="000000"/>
          <w:sz w:val="18"/>
          <w:szCs w:val="18"/>
        </w:rPr>
      </w:pPr>
      <w:r w:rsidRPr="00C14CD2">
        <w:rPr>
          <w:rFonts w:ascii="Arial" w:hAnsi="Arial" w:cs="Arial"/>
          <w:caps/>
          <w:color w:val="000000"/>
          <w:sz w:val="18"/>
          <w:szCs w:val="18"/>
        </w:rPr>
        <w:t>GAZZETTA UFFICIALE - 21 MAGGIO 2022 ORE 06:00</w:t>
      </w:r>
    </w:p>
    <w:p w14:paraId="4E618E46" w14:textId="77777777" w:rsidR="00C14CD2" w:rsidRPr="00C14CD2" w:rsidRDefault="00C14CD2" w:rsidP="00C14CD2">
      <w:pPr>
        <w:shd w:val="clear" w:color="auto" w:fill="FFFFFF"/>
        <w:spacing w:after="165" w:line="630" w:lineRule="atLeast"/>
        <w:textAlignment w:val="baseline"/>
        <w:outlineLvl w:val="0"/>
        <w:rPr>
          <w:color w:val="007AC3"/>
          <w:kern w:val="36"/>
          <w:sz w:val="54"/>
          <w:szCs w:val="54"/>
        </w:rPr>
      </w:pPr>
      <w:r w:rsidRPr="00C14CD2">
        <w:rPr>
          <w:color w:val="007AC3"/>
          <w:kern w:val="36"/>
          <w:sz w:val="54"/>
          <w:szCs w:val="54"/>
        </w:rPr>
        <w:t>Decreto Energia: le novità della legge di conversione</w:t>
      </w:r>
    </w:p>
    <w:p w14:paraId="587D9EB0" w14:textId="77777777" w:rsidR="00C14CD2" w:rsidRPr="00C14CD2" w:rsidRDefault="00C14CD2" w:rsidP="00C14CD2">
      <w:pPr>
        <w:shd w:val="clear" w:color="auto" w:fill="FFFFFF"/>
        <w:spacing w:before="90" w:after="300" w:line="360" w:lineRule="atLeast"/>
        <w:textAlignment w:val="baseline"/>
        <w:rPr>
          <w:rFonts w:ascii="Arial" w:hAnsi="Arial" w:cs="Arial"/>
          <w:color w:val="000000"/>
          <w:sz w:val="23"/>
          <w:szCs w:val="23"/>
        </w:rPr>
      </w:pPr>
      <w:r w:rsidRPr="00C14CD2">
        <w:rPr>
          <w:rFonts w:ascii="Arial" w:hAnsi="Arial" w:cs="Arial"/>
          <w:color w:val="000000"/>
          <w:sz w:val="23"/>
          <w:szCs w:val="23"/>
        </w:rPr>
        <w:t>Approda nella Gazzetta Ufficiale la legge di conversione del decreto Energia. Tra i principali correttivi approvati nel corso dell’iter parlamentare che entrano in vigore, l’estensione dei buoni carburanti a tutti i lavoratori del settore privato, compresi i dipendenti degli studi professionali, tutela retroattiva per i professionisti che avendo contratto il Covid non hanno rispettato le scadenze, l’allungamento dei termini per la fruizione del credito d’imposta rimanenze di magazzino, la sospensione fino al 16 novembre 2022 per i gestori di teatri e sale da concerto dei versamenti fiscali da aprile a giugno e la proroga dei termini per il pagamento degli avvisi bonari. Novità anche per il superbonus 110% e gli altri bonus edilizi minori.</w:t>
      </w:r>
    </w:p>
    <w:p w14:paraId="2E7B6C7B"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t>Novità in ambito fiscale</w:t>
      </w:r>
    </w:p>
    <w:p w14:paraId="4FFD6CB2"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Tra le novità in ambito fiscale che entrano in vigore con la </w:t>
      </w:r>
      <w:r w:rsidRPr="00C14CD2">
        <w:rPr>
          <w:rFonts w:ascii="Arial" w:hAnsi="Arial" w:cs="Arial"/>
          <w:color w:val="000000"/>
          <w:sz w:val="23"/>
          <w:szCs w:val="23"/>
          <w:bdr w:val="none" w:sz="0" w:space="0" w:color="auto" w:frame="1"/>
        </w:rPr>
        <w:t>legge di conversione</w:t>
      </w:r>
      <w:r w:rsidRPr="00C14CD2">
        <w:rPr>
          <w:rFonts w:ascii="Arial" w:hAnsi="Arial" w:cs="Arial"/>
          <w:color w:val="000000"/>
          <w:sz w:val="23"/>
          <w:szCs w:val="23"/>
        </w:rPr>
        <w:t>:</w:t>
      </w:r>
    </w:p>
    <w:p w14:paraId="483FC37A"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w:t>
      </w:r>
      <w:r w:rsidRPr="00C14CD2">
        <w:rPr>
          <w:rFonts w:ascii="Arial" w:hAnsi="Arial" w:cs="Arial"/>
          <w:color w:val="000000"/>
          <w:sz w:val="23"/>
          <w:szCs w:val="23"/>
          <w:bdr w:val="none" w:sz="0" w:space="0" w:color="auto" w:frame="1"/>
        </w:rPr>
        <w:t>estensione</w:t>
      </w:r>
      <w:r w:rsidRPr="00C14CD2">
        <w:rPr>
          <w:rFonts w:ascii="Arial" w:hAnsi="Arial" w:cs="Arial"/>
          <w:color w:val="000000"/>
          <w:sz w:val="23"/>
          <w:szCs w:val="23"/>
        </w:rPr>
        <w:t> a tutti i datori di lavoro privati, compresi i professionisti e gli studi professionali, della possibilità di cedere ai propri dipendenti a qualsiasi titolo </w:t>
      </w:r>
      <w:r w:rsidRPr="00C14CD2">
        <w:rPr>
          <w:rFonts w:ascii="Arial" w:hAnsi="Arial" w:cs="Arial"/>
          <w:color w:val="000000"/>
          <w:sz w:val="23"/>
          <w:szCs w:val="23"/>
          <w:bdr w:val="none" w:sz="0" w:space="0" w:color="auto" w:frame="1"/>
        </w:rPr>
        <w:t>buoni benzina</w:t>
      </w:r>
      <w:r w:rsidRPr="00C14CD2">
        <w:rPr>
          <w:rFonts w:ascii="Arial" w:hAnsi="Arial" w:cs="Arial"/>
          <w:color w:val="000000"/>
          <w:sz w:val="23"/>
          <w:szCs w:val="23"/>
        </w:rPr>
        <w:t> o </w:t>
      </w:r>
      <w:r w:rsidRPr="00C14CD2">
        <w:rPr>
          <w:rFonts w:ascii="Arial" w:hAnsi="Arial" w:cs="Arial"/>
          <w:color w:val="000000"/>
          <w:sz w:val="23"/>
          <w:szCs w:val="23"/>
          <w:bdr w:val="none" w:sz="0" w:space="0" w:color="auto" w:frame="1"/>
        </w:rPr>
        <w:t>titoli analoghi</w:t>
      </w:r>
      <w:r w:rsidRPr="00C14CD2">
        <w:rPr>
          <w:rFonts w:ascii="Arial" w:hAnsi="Arial" w:cs="Arial"/>
          <w:color w:val="000000"/>
          <w:sz w:val="23"/>
          <w:szCs w:val="23"/>
        </w:rPr>
        <w:t>, i quali, per l’anno 2022, nel limite di 200 euro per lavoratore, non sono imponibili ai sensi dell’art. 51, c. 3, TUIR (articolo 2);</w:t>
      </w:r>
    </w:p>
    <w:p w14:paraId="513AFEDA"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w:t>
      </w:r>
      <w:r w:rsidRPr="00C14CD2">
        <w:rPr>
          <w:rFonts w:ascii="Arial" w:hAnsi="Arial" w:cs="Arial"/>
          <w:color w:val="000000"/>
          <w:sz w:val="23"/>
          <w:szCs w:val="23"/>
          <w:bdr w:val="none" w:sz="0" w:space="0" w:color="auto" w:frame="1"/>
        </w:rPr>
        <w:t>allungamento</w:t>
      </w:r>
      <w:r w:rsidRPr="00C14CD2">
        <w:rPr>
          <w:rFonts w:ascii="Arial" w:hAnsi="Arial" w:cs="Arial"/>
          <w:color w:val="000000"/>
          <w:sz w:val="23"/>
          <w:szCs w:val="23"/>
        </w:rPr>
        <w:t> dei termini per la fruizione del </w:t>
      </w:r>
      <w:r w:rsidRPr="00C14CD2">
        <w:rPr>
          <w:rFonts w:ascii="Arial" w:hAnsi="Arial" w:cs="Arial"/>
          <w:color w:val="000000"/>
          <w:sz w:val="23"/>
          <w:szCs w:val="23"/>
          <w:bdr w:val="none" w:sz="0" w:space="0" w:color="auto" w:frame="1"/>
        </w:rPr>
        <w:t>credito di imposta</w:t>
      </w:r>
      <w:r w:rsidRPr="00C14CD2">
        <w:rPr>
          <w:rFonts w:ascii="Arial" w:hAnsi="Arial" w:cs="Arial"/>
          <w:color w:val="000000"/>
          <w:sz w:val="23"/>
          <w:szCs w:val="23"/>
        </w:rPr>
        <w:t> </w:t>
      </w:r>
      <w:r w:rsidRPr="00C14CD2">
        <w:rPr>
          <w:rFonts w:ascii="Arial" w:hAnsi="Arial" w:cs="Arial"/>
          <w:color w:val="000000"/>
          <w:sz w:val="23"/>
          <w:szCs w:val="23"/>
          <w:bdr w:val="none" w:sz="0" w:space="0" w:color="auto" w:frame="1"/>
        </w:rPr>
        <w:t>rimanenze di magazzino</w:t>
      </w:r>
      <w:r w:rsidRPr="00C14CD2">
        <w:rPr>
          <w:rFonts w:ascii="Arial" w:hAnsi="Arial" w:cs="Arial"/>
          <w:color w:val="000000"/>
          <w:sz w:val="23"/>
          <w:szCs w:val="23"/>
        </w:rPr>
        <w:t xml:space="preserve"> (articolo 10-sexies). A seguito della modifica, il bonus è utilizzabile, esclusivamente in compensazione ai sensi dell'art. 17, </w:t>
      </w:r>
      <w:proofErr w:type="spellStart"/>
      <w:r w:rsidRPr="00C14CD2">
        <w:rPr>
          <w:rFonts w:ascii="Arial" w:hAnsi="Arial" w:cs="Arial"/>
          <w:color w:val="000000"/>
          <w:sz w:val="23"/>
          <w:szCs w:val="23"/>
        </w:rPr>
        <w:t>D.Lgs.</w:t>
      </w:r>
      <w:proofErr w:type="spellEnd"/>
      <w:r w:rsidRPr="00C14CD2">
        <w:rPr>
          <w:rFonts w:ascii="Arial" w:hAnsi="Arial" w:cs="Arial"/>
          <w:color w:val="000000"/>
          <w:sz w:val="23"/>
          <w:szCs w:val="23"/>
        </w:rPr>
        <w:t xml:space="preserve"> n. 241/1997, nei periodi d’imposta successivi a quello di maturazione. Ante correzione, invece, il credito di imposta poteva essere compensato nel solo periodo d'imposta successivo a quello di maturazione;</w:t>
      </w:r>
    </w:p>
    <w:p w14:paraId="5F4FE1BC"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la </w:t>
      </w:r>
      <w:r w:rsidRPr="00C14CD2">
        <w:rPr>
          <w:rFonts w:ascii="Arial" w:hAnsi="Arial" w:cs="Arial"/>
          <w:color w:val="000000"/>
          <w:sz w:val="23"/>
          <w:szCs w:val="23"/>
          <w:bdr w:val="none" w:sz="0" w:space="0" w:color="auto" w:frame="1"/>
        </w:rPr>
        <w:t>tutela retroattiva</w:t>
      </w:r>
      <w:r w:rsidRPr="00C14CD2">
        <w:rPr>
          <w:rFonts w:ascii="Arial" w:hAnsi="Arial" w:cs="Arial"/>
          <w:color w:val="000000"/>
          <w:sz w:val="23"/>
          <w:szCs w:val="23"/>
        </w:rPr>
        <w:t> per i </w:t>
      </w:r>
      <w:r w:rsidRPr="00C14CD2">
        <w:rPr>
          <w:rFonts w:ascii="Arial" w:hAnsi="Arial" w:cs="Arial"/>
          <w:color w:val="000000"/>
          <w:sz w:val="23"/>
          <w:szCs w:val="23"/>
          <w:bdr w:val="none" w:sz="0" w:space="0" w:color="auto" w:frame="1"/>
        </w:rPr>
        <w:t>professionisti</w:t>
      </w:r>
      <w:r w:rsidRPr="00C14CD2">
        <w:rPr>
          <w:rFonts w:ascii="Arial" w:hAnsi="Arial" w:cs="Arial"/>
          <w:color w:val="000000"/>
          <w:sz w:val="23"/>
          <w:szCs w:val="23"/>
        </w:rPr>
        <w:t> che avendo contratto il Covid non hanno rispettato le scadenze (articolo 12-bis). Con la disposizione, in particolare, si anticipa al 31 gennaio 2020, ossia dalla data di dichiarazione dello stato di emergenza, l’applicazione della disciplina che prevede la sospensione di adempimenti e versamenti in caso di malattia del professionista per Covid.</w:t>
      </w:r>
    </w:p>
    <w:p w14:paraId="1693E2C2"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la </w:t>
      </w:r>
      <w:r w:rsidRPr="00C14CD2">
        <w:rPr>
          <w:rFonts w:ascii="Arial" w:hAnsi="Arial" w:cs="Arial"/>
          <w:color w:val="000000"/>
          <w:sz w:val="23"/>
          <w:szCs w:val="23"/>
          <w:bdr w:val="none" w:sz="0" w:space="0" w:color="auto" w:frame="1"/>
        </w:rPr>
        <w:t>sospensione</w:t>
      </w:r>
      <w:r w:rsidRPr="00C14CD2">
        <w:rPr>
          <w:rFonts w:ascii="Arial" w:hAnsi="Arial" w:cs="Arial"/>
          <w:color w:val="000000"/>
          <w:sz w:val="23"/>
          <w:szCs w:val="23"/>
        </w:rPr>
        <w:t> fino al </w:t>
      </w:r>
      <w:r w:rsidRPr="00C14CD2">
        <w:rPr>
          <w:rFonts w:ascii="Arial" w:hAnsi="Arial" w:cs="Arial"/>
          <w:color w:val="000000"/>
          <w:sz w:val="23"/>
          <w:szCs w:val="23"/>
          <w:bdr w:val="none" w:sz="0" w:space="0" w:color="auto" w:frame="1"/>
        </w:rPr>
        <w:t>16 novembre 2022</w:t>
      </w:r>
      <w:r w:rsidRPr="00C14CD2">
        <w:rPr>
          <w:rFonts w:ascii="Arial" w:hAnsi="Arial" w:cs="Arial"/>
          <w:color w:val="000000"/>
          <w:sz w:val="23"/>
          <w:szCs w:val="23"/>
        </w:rPr>
        <w:t> per i gestori di </w:t>
      </w:r>
      <w:r w:rsidRPr="00C14CD2">
        <w:rPr>
          <w:rFonts w:ascii="Arial" w:hAnsi="Arial" w:cs="Arial"/>
          <w:color w:val="000000"/>
          <w:sz w:val="23"/>
          <w:szCs w:val="23"/>
          <w:bdr w:val="none" w:sz="0" w:space="0" w:color="auto" w:frame="1"/>
        </w:rPr>
        <w:t>teatri</w:t>
      </w:r>
      <w:r w:rsidRPr="00C14CD2">
        <w:rPr>
          <w:rFonts w:ascii="Arial" w:hAnsi="Arial" w:cs="Arial"/>
          <w:color w:val="000000"/>
          <w:sz w:val="23"/>
          <w:szCs w:val="23"/>
        </w:rPr>
        <w:t> e </w:t>
      </w:r>
      <w:r w:rsidRPr="00C14CD2">
        <w:rPr>
          <w:rFonts w:ascii="Arial" w:hAnsi="Arial" w:cs="Arial"/>
          <w:color w:val="000000"/>
          <w:sz w:val="23"/>
          <w:szCs w:val="23"/>
          <w:bdr w:val="none" w:sz="0" w:space="0" w:color="auto" w:frame="1"/>
        </w:rPr>
        <w:t>sale</w:t>
      </w:r>
      <w:r w:rsidRPr="00C14CD2">
        <w:rPr>
          <w:rFonts w:ascii="Arial" w:hAnsi="Arial" w:cs="Arial"/>
          <w:color w:val="000000"/>
          <w:sz w:val="23"/>
          <w:szCs w:val="23"/>
        </w:rPr>
        <w:t> da concerto dei versamenti fiscali dei mesi di aprile, maggio e giugno 2022 (articolo 22-bis);</w:t>
      </w:r>
    </w:p>
    <w:p w14:paraId="426EF0D0"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la </w:t>
      </w:r>
      <w:r w:rsidRPr="00C14CD2">
        <w:rPr>
          <w:rFonts w:ascii="Arial" w:hAnsi="Arial" w:cs="Arial"/>
          <w:color w:val="000000"/>
          <w:sz w:val="23"/>
          <w:szCs w:val="23"/>
          <w:bdr w:val="none" w:sz="0" w:space="0" w:color="auto" w:frame="1"/>
        </w:rPr>
        <w:t>proroga</w:t>
      </w:r>
      <w:r w:rsidRPr="00C14CD2">
        <w:rPr>
          <w:rFonts w:ascii="Arial" w:hAnsi="Arial" w:cs="Arial"/>
          <w:color w:val="000000"/>
          <w:sz w:val="23"/>
          <w:szCs w:val="23"/>
        </w:rPr>
        <w:t> a </w:t>
      </w:r>
      <w:r w:rsidRPr="00C14CD2">
        <w:rPr>
          <w:rFonts w:ascii="Arial" w:hAnsi="Arial" w:cs="Arial"/>
          <w:color w:val="000000"/>
          <w:sz w:val="23"/>
          <w:szCs w:val="23"/>
          <w:bdr w:val="none" w:sz="0" w:space="0" w:color="auto" w:frame="1"/>
        </w:rPr>
        <w:t>60 giorni</w:t>
      </w:r>
      <w:r w:rsidRPr="00C14CD2">
        <w:rPr>
          <w:rFonts w:ascii="Arial" w:hAnsi="Arial" w:cs="Arial"/>
          <w:color w:val="000000"/>
          <w:sz w:val="23"/>
          <w:szCs w:val="23"/>
        </w:rPr>
        <w:t> del termine per il pagamento degli </w:t>
      </w:r>
      <w:r w:rsidRPr="00C14CD2">
        <w:rPr>
          <w:rFonts w:ascii="Arial" w:hAnsi="Arial" w:cs="Arial"/>
          <w:color w:val="000000"/>
          <w:sz w:val="23"/>
          <w:szCs w:val="23"/>
          <w:bdr w:val="none" w:sz="0" w:space="0" w:color="auto" w:frame="1"/>
        </w:rPr>
        <w:t>avvisi bonari</w:t>
      </w:r>
      <w:r w:rsidRPr="00C14CD2">
        <w:rPr>
          <w:rFonts w:ascii="Arial" w:hAnsi="Arial" w:cs="Arial"/>
          <w:color w:val="000000"/>
          <w:sz w:val="23"/>
          <w:szCs w:val="23"/>
        </w:rPr>
        <w:t> notificati fino al 31 agosto 2022 (articolo 37-quater).</w:t>
      </w:r>
    </w:p>
    <w:p w14:paraId="35192837"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lastRenderedPageBreak/>
        <w:t>Crediti d’imposta</w:t>
      </w:r>
    </w:p>
    <w:p w14:paraId="212898DA"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Non</w:t>
      </w:r>
      <w:r w:rsidRPr="00C14CD2">
        <w:rPr>
          <w:rFonts w:ascii="Arial" w:hAnsi="Arial" w:cs="Arial"/>
          <w:color w:val="000000"/>
          <w:sz w:val="23"/>
          <w:szCs w:val="23"/>
          <w:bdr w:val="none" w:sz="0" w:space="0" w:color="auto" w:frame="1"/>
        </w:rPr>
        <w:t> </w:t>
      </w:r>
      <w:r w:rsidRPr="00C14CD2">
        <w:rPr>
          <w:rFonts w:ascii="Arial" w:hAnsi="Arial" w:cs="Arial"/>
          <w:color w:val="000000"/>
          <w:sz w:val="23"/>
          <w:szCs w:val="23"/>
        </w:rPr>
        <w:t>sono state apportate modifiche, in sede di conversione in legge, ai diversi crediti di imposta previsti.</w:t>
      </w:r>
    </w:p>
    <w:p w14:paraId="2D7CB8FD"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bdr w:val="none" w:sz="0" w:space="0" w:color="auto" w:frame="1"/>
        </w:rPr>
        <w:t>Confermato</w:t>
      </w:r>
      <w:r w:rsidRPr="00C14CD2">
        <w:rPr>
          <w:rFonts w:ascii="Arial" w:hAnsi="Arial" w:cs="Arial"/>
          <w:color w:val="000000"/>
          <w:sz w:val="23"/>
          <w:szCs w:val="23"/>
        </w:rPr>
        <w:t>, quindi, il </w:t>
      </w:r>
      <w:r w:rsidRPr="00C14CD2">
        <w:rPr>
          <w:rFonts w:ascii="Arial" w:hAnsi="Arial" w:cs="Arial"/>
          <w:color w:val="000000"/>
          <w:sz w:val="23"/>
          <w:szCs w:val="23"/>
          <w:bdr w:val="none" w:sz="0" w:space="0" w:color="auto" w:frame="1"/>
        </w:rPr>
        <w:t>credito d'imposta</w:t>
      </w:r>
      <w:r w:rsidRPr="00C14CD2">
        <w:rPr>
          <w:rFonts w:ascii="Arial" w:hAnsi="Arial" w:cs="Arial"/>
          <w:color w:val="000000"/>
          <w:sz w:val="23"/>
          <w:szCs w:val="23"/>
        </w:rPr>
        <w:t> alle </w:t>
      </w:r>
      <w:r w:rsidRPr="00C14CD2">
        <w:rPr>
          <w:rFonts w:ascii="Arial" w:hAnsi="Arial" w:cs="Arial"/>
          <w:color w:val="000000"/>
          <w:sz w:val="23"/>
          <w:szCs w:val="23"/>
          <w:bdr w:val="none" w:sz="0" w:space="0" w:color="auto" w:frame="1"/>
        </w:rPr>
        <w:t>imprese turistico</w:t>
      </w:r>
      <w:r w:rsidRPr="00C14CD2">
        <w:rPr>
          <w:rFonts w:ascii="Arial" w:hAnsi="Arial" w:cs="Arial"/>
          <w:color w:val="000000"/>
          <w:sz w:val="23"/>
          <w:szCs w:val="23"/>
        </w:rPr>
        <w:t> </w:t>
      </w:r>
      <w:r w:rsidRPr="00C14CD2">
        <w:rPr>
          <w:rFonts w:ascii="Arial" w:hAnsi="Arial" w:cs="Arial"/>
          <w:color w:val="000000"/>
          <w:sz w:val="23"/>
          <w:szCs w:val="23"/>
          <w:bdr w:val="none" w:sz="0" w:space="0" w:color="auto" w:frame="1"/>
        </w:rPr>
        <w:t>ricettive</w:t>
      </w:r>
      <w:r w:rsidRPr="00C14CD2">
        <w:rPr>
          <w:rFonts w:ascii="Arial" w:hAnsi="Arial" w:cs="Arial"/>
          <w:color w:val="000000"/>
          <w:sz w:val="23"/>
          <w:szCs w:val="23"/>
        </w:rPr>
        <w:t> di cui all’articolo 22 (articolo 22). Il benefico è pari al 50% dell'importo dell’IMU versato a titolo di seconda rata per l'anno 2021 e viene riconosciuto a condizione che i relativi proprietari siano anche gestori delle attività esercitate e che i soggetti indicati abbiano subìto una diminuzione del fatturato o dei corrispettivi, nel secondo trimestre 2021, di almeno il 50% rispetto al corrispondente periodo dell'anno 2019.</w:t>
      </w:r>
    </w:p>
    <w:p w14:paraId="24D19AED"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Per i crediti di imposta alle </w:t>
      </w:r>
      <w:r w:rsidRPr="00C14CD2">
        <w:rPr>
          <w:rFonts w:ascii="Arial" w:hAnsi="Arial" w:cs="Arial"/>
          <w:color w:val="000000"/>
          <w:sz w:val="23"/>
          <w:szCs w:val="23"/>
          <w:bdr w:val="none" w:sz="0" w:space="0" w:color="auto" w:frame="1"/>
        </w:rPr>
        <w:t>imprese</w:t>
      </w:r>
      <w:r w:rsidRPr="00C14CD2">
        <w:rPr>
          <w:rFonts w:ascii="Arial" w:hAnsi="Arial" w:cs="Arial"/>
          <w:color w:val="000000"/>
          <w:sz w:val="23"/>
          <w:szCs w:val="23"/>
        </w:rPr>
        <w:t> </w:t>
      </w:r>
      <w:r w:rsidRPr="00C14CD2">
        <w:rPr>
          <w:rFonts w:ascii="Arial" w:hAnsi="Arial" w:cs="Arial"/>
          <w:color w:val="000000"/>
          <w:sz w:val="23"/>
          <w:szCs w:val="23"/>
          <w:bdr w:val="none" w:sz="0" w:space="0" w:color="auto" w:frame="1"/>
        </w:rPr>
        <w:t>non</w:t>
      </w:r>
      <w:r w:rsidRPr="00C14CD2">
        <w:rPr>
          <w:rFonts w:ascii="Arial" w:hAnsi="Arial" w:cs="Arial"/>
          <w:color w:val="000000"/>
          <w:sz w:val="23"/>
          <w:szCs w:val="23"/>
        </w:rPr>
        <w:t> </w:t>
      </w:r>
      <w:r w:rsidRPr="00C14CD2">
        <w:rPr>
          <w:rFonts w:ascii="Arial" w:hAnsi="Arial" w:cs="Arial"/>
          <w:color w:val="000000"/>
          <w:sz w:val="23"/>
          <w:szCs w:val="23"/>
          <w:bdr w:val="none" w:sz="0" w:space="0" w:color="auto" w:frame="1"/>
        </w:rPr>
        <w:t xml:space="preserve">energivore, </w:t>
      </w:r>
      <w:proofErr w:type="spellStart"/>
      <w:r w:rsidRPr="00C14CD2">
        <w:rPr>
          <w:rFonts w:ascii="Arial" w:hAnsi="Arial" w:cs="Arial"/>
          <w:color w:val="000000"/>
          <w:sz w:val="23"/>
          <w:szCs w:val="23"/>
          <w:bdr w:val="none" w:sz="0" w:space="0" w:color="auto" w:frame="1"/>
        </w:rPr>
        <w:t>gasivore</w:t>
      </w:r>
      <w:proofErr w:type="spellEnd"/>
      <w:r w:rsidRPr="00C14CD2">
        <w:rPr>
          <w:rFonts w:ascii="Arial" w:hAnsi="Arial" w:cs="Arial"/>
          <w:color w:val="000000"/>
          <w:sz w:val="23"/>
          <w:szCs w:val="23"/>
        </w:rPr>
        <w:t> e </w:t>
      </w:r>
      <w:r w:rsidRPr="00C14CD2">
        <w:rPr>
          <w:rFonts w:ascii="Arial" w:hAnsi="Arial" w:cs="Arial"/>
          <w:color w:val="000000"/>
          <w:sz w:val="23"/>
          <w:szCs w:val="23"/>
          <w:bdr w:val="none" w:sz="0" w:space="0" w:color="auto" w:frame="1"/>
        </w:rPr>
        <w:t xml:space="preserve">non </w:t>
      </w:r>
      <w:proofErr w:type="spellStart"/>
      <w:r w:rsidRPr="00C14CD2">
        <w:rPr>
          <w:rFonts w:ascii="Arial" w:hAnsi="Arial" w:cs="Arial"/>
          <w:color w:val="000000"/>
          <w:sz w:val="23"/>
          <w:szCs w:val="23"/>
          <w:bdr w:val="none" w:sz="0" w:space="0" w:color="auto" w:frame="1"/>
        </w:rPr>
        <w:t>gasivore</w:t>
      </w:r>
      <w:proofErr w:type="spellEnd"/>
      <w:r w:rsidRPr="00C14CD2">
        <w:rPr>
          <w:rFonts w:ascii="Arial" w:hAnsi="Arial" w:cs="Arial"/>
          <w:color w:val="000000"/>
          <w:sz w:val="23"/>
          <w:szCs w:val="23"/>
        </w:rPr>
        <w:t>, le correzioni non arrivano dalla legge di conversione, ma dal </w:t>
      </w:r>
      <w:hyperlink r:id="rId8" w:tgtFrame="_blank" w:tooltip="decreto Aiuti" w:history="1">
        <w:r w:rsidRPr="00C14CD2">
          <w:rPr>
            <w:rFonts w:ascii="Arial" w:hAnsi="Arial" w:cs="Arial"/>
            <w:color w:val="0000FF"/>
            <w:sz w:val="23"/>
            <w:szCs w:val="23"/>
            <w:u w:val="single"/>
            <w:bdr w:val="none" w:sz="0" w:space="0" w:color="auto" w:frame="1"/>
          </w:rPr>
          <w:t>decreto Aiuti</w:t>
        </w:r>
      </w:hyperlink>
      <w:r w:rsidRPr="00C14CD2">
        <w:rPr>
          <w:rFonts w:ascii="Arial" w:hAnsi="Arial" w:cs="Arial"/>
          <w:color w:val="000000"/>
          <w:sz w:val="23"/>
          <w:szCs w:val="23"/>
        </w:rPr>
        <w:t> (art. 2, D.L. n. 50/2022), che ha aumentato:</w:t>
      </w:r>
    </w:p>
    <w:p w14:paraId="183147D9"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dal 20 al </w:t>
      </w:r>
      <w:r w:rsidRPr="00C14CD2">
        <w:rPr>
          <w:rFonts w:ascii="Arial" w:hAnsi="Arial" w:cs="Arial"/>
          <w:color w:val="000000"/>
          <w:sz w:val="23"/>
          <w:szCs w:val="23"/>
          <w:bdr w:val="none" w:sz="0" w:space="0" w:color="auto" w:frame="1"/>
        </w:rPr>
        <w:t>25%</w:t>
      </w:r>
      <w:r w:rsidRPr="00C14CD2">
        <w:rPr>
          <w:rFonts w:ascii="Arial" w:hAnsi="Arial" w:cs="Arial"/>
          <w:color w:val="000000"/>
          <w:sz w:val="23"/>
          <w:szCs w:val="23"/>
        </w:rPr>
        <w:t> il bonus per il gas naturale acquistato dalle imprese </w:t>
      </w:r>
      <w:r w:rsidRPr="00C14CD2">
        <w:rPr>
          <w:rFonts w:ascii="Arial" w:hAnsi="Arial" w:cs="Arial"/>
          <w:color w:val="000000"/>
          <w:sz w:val="23"/>
          <w:szCs w:val="23"/>
          <w:bdr w:val="none" w:sz="0" w:space="0" w:color="auto" w:frame="1"/>
        </w:rPr>
        <w:t>diverse</w:t>
      </w:r>
      <w:r w:rsidRPr="00C14CD2">
        <w:rPr>
          <w:rFonts w:ascii="Arial" w:hAnsi="Arial" w:cs="Arial"/>
          <w:color w:val="000000"/>
          <w:sz w:val="23"/>
          <w:szCs w:val="23"/>
        </w:rPr>
        <w:t xml:space="preserve"> da quelle </w:t>
      </w:r>
      <w:proofErr w:type="spellStart"/>
      <w:r w:rsidRPr="00C14CD2">
        <w:rPr>
          <w:rFonts w:ascii="Arial" w:hAnsi="Arial" w:cs="Arial"/>
          <w:color w:val="000000"/>
          <w:sz w:val="23"/>
          <w:szCs w:val="23"/>
        </w:rPr>
        <w:t>gasivore</w:t>
      </w:r>
      <w:proofErr w:type="spellEnd"/>
      <w:r w:rsidRPr="00C14CD2">
        <w:rPr>
          <w:rFonts w:ascii="Arial" w:hAnsi="Arial" w:cs="Arial"/>
          <w:color w:val="000000"/>
          <w:sz w:val="23"/>
          <w:szCs w:val="23"/>
        </w:rPr>
        <w:t xml:space="preserve"> ex articolo 4;</w:t>
      </w:r>
    </w:p>
    <w:p w14:paraId="359E09D4"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dal 20% (aliquota fissata dall’articolo 5, comma 2) al </w:t>
      </w:r>
      <w:r w:rsidRPr="00C14CD2">
        <w:rPr>
          <w:rFonts w:ascii="Arial" w:hAnsi="Arial" w:cs="Arial"/>
          <w:color w:val="000000"/>
          <w:sz w:val="23"/>
          <w:szCs w:val="23"/>
          <w:bdr w:val="none" w:sz="0" w:space="0" w:color="auto" w:frame="1"/>
        </w:rPr>
        <w:t>25%</w:t>
      </w:r>
      <w:r w:rsidRPr="00C14CD2">
        <w:rPr>
          <w:rFonts w:ascii="Arial" w:hAnsi="Arial" w:cs="Arial"/>
          <w:color w:val="000000"/>
          <w:sz w:val="23"/>
          <w:szCs w:val="23"/>
        </w:rPr>
        <w:t> il bonus per il gas naturale acquistato dalle imprese </w:t>
      </w:r>
      <w:proofErr w:type="spellStart"/>
      <w:r w:rsidRPr="00C14CD2">
        <w:rPr>
          <w:rFonts w:ascii="Arial" w:hAnsi="Arial" w:cs="Arial"/>
          <w:color w:val="000000"/>
          <w:sz w:val="23"/>
          <w:szCs w:val="23"/>
          <w:bdr w:val="none" w:sz="0" w:space="0" w:color="auto" w:frame="1"/>
        </w:rPr>
        <w:t>gasivore</w:t>
      </w:r>
      <w:proofErr w:type="spellEnd"/>
      <w:r w:rsidRPr="00C14CD2">
        <w:rPr>
          <w:rFonts w:ascii="Arial" w:hAnsi="Arial" w:cs="Arial"/>
          <w:color w:val="000000"/>
          <w:sz w:val="23"/>
          <w:szCs w:val="23"/>
        </w:rPr>
        <w:t> ex articolo 5, D.L. 17/2022;</w:t>
      </w:r>
    </w:p>
    <w:p w14:paraId="0AEBD420"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dal 12 al </w:t>
      </w:r>
      <w:r w:rsidRPr="00C14CD2">
        <w:rPr>
          <w:rFonts w:ascii="Arial" w:hAnsi="Arial" w:cs="Arial"/>
          <w:color w:val="000000"/>
          <w:sz w:val="23"/>
          <w:szCs w:val="23"/>
          <w:bdr w:val="none" w:sz="0" w:space="0" w:color="auto" w:frame="1"/>
        </w:rPr>
        <w:t>15%</w:t>
      </w:r>
      <w:r w:rsidRPr="00C14CD2">
        <w:rPr>
          <w:rFonts w:ascii="Arial" w:hAnsi="Arial" w:cs="Arial"/>
          <w:color w:val="000000"/>
          <w:sz w:val="23"/>
          <w:szCs w:val="23"/>
        </w:rPr>
        <w:t> il bonus per l’energia elettrica acquistata dalle imprese </w:t>
      </w:r>
      <w:r w:rsidRPr="00C14CD2">
        <w:rPr>
          <w:rFonts w:ascii="Arial" w:hAnsi="Arial" w:cs="Arial"/>
          <w:color w:val="000000"/>
          <w:sz w:val="23"/>
          <w:szCs w:val="23"/>
          <w:bdr w:val="none" w:sz="0" w:space="0" w:color="auto" w:frame="1"/>
        </w:rPr>
        <w:t>diverse</w:t>
      </w:r>
      <w:r w:rsidRPr="00C14CD2">
        <w:rPr>
          <w:rFonts w:ascii="Arial" w:hAnsi="Arial" w:cs="Arial"/>
          <w:color w:val="000000"/>
          <w:sz w:val="23"/>
          <w:szCs w:val="23"/>
        </w:rPr>
        <w:t> da quelle energivore ex articolo 3.</w:t>
      </w:r>
    </w:p>
    <w:p w14:paraId="14357564"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Nessuna modifica anche per il credito d'imposta a favore delle imprese agricole e della pesca per l’acquisto di carburanti per l’esercizio dell’attività di cui all’articolo 18. Il beneficio è pari al 20% della spesa sostenuta per l’acquisto del carburante effettuato nel primo trimestre solare dell’anno 2022, comprovato mediante le relative fatture d’acquisto, al netto dell’imposta sul valore aggiunto.</w:t>
      </w:r>
    </w:p>
    <w:p w14:paraId="61E545C8"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t>Occupazione suolo pubblico</w:t>
      </w:r>
    </w:p>
    <w:p w14:paraId="33B2FC4C"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Con la legge di conversione diventano definitive anche le </w:t>
      </w:r>
      <w:r w:rsidRPr="00C14CD2">
        <w:rPr>
          <w:rFonts w:ascii="Arial" w:hAnsi="Arial" w:cs="Arial"/>
          <w:color w:val="000000"/>
          <w:sz w:val="23"/>
          <w:szCs w:val="23"/>
          <w:bdr w:val="none" w:sz="0" w:space="0" w:color="auto" w:frame="1"/>
        </w:rPr>
        <w:t>proroghe</w:t>
      </w:r>
      <w:r w:rsidRPr="00C14CD2">
        <w:rPr>
          <w:rFonts w:ascii="Arial" w:hAnsi="Arial" w:cs="Arial"/>
          <w:color w:val="000000"/>
          <w:sz w:val="23"/>
          <w:szCs w:val="23"/>
        </w:rPr>
        <w:t> fino al </w:t>
      </w:r>
      <w:r w:rsidRPr="00C14CD2">
        <w:rPr>
          <w:rFonts w:ascii="Arial" w:hAnsi="Arial" w:cs="Arial"/>
          <w:color w:val="000000"/>
          <w:sz w:val="23"/>
          <w:szCs w:val="23"/>
          <w:bdr w:val="none" w:sz="0" w:space="0" w:color="auto" w:frame="1"/>
        </w:rPr>
        <w:t>30 settembre 2022</w:t>
      </w:r>
      <w:r w:rsidRPr="00C14CD2">
        <w:rPr>
          <w:rFonts w:ascii="Arial" w:hAnsi="Arial" w:cs="Arial"/>
          <w:color w:val="000000"/>
          <w:sz w:val="23"/>
          <w:szCs w:val="23"/>
        </w:rPr>
        <w:t>:</w:t>
      </w:r>
    </w:p>
    <w:p w14:paraId="7485C600"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delle autorizzazioni per l’</w:t>
      </w:r>
      <w:r w:rsidRPr="00C14CD2">
        <w:rPr>
          <w:rFonts w:ascii="Arial" w:hAnsi="Arial" w:cs="Arial"/>
          <w:color w:val="000000"/>
          <w:sz w:val="23"/>
          <w:szCs w:val="23"/>
          <w:bdr w:val="none" w:sz="0" w:space="0" w:color="auto" w:frame="1"/>
        </w:rPr>
        <w:t>utilizzo temporaneo</w:t>
      </w:r>
      <w:r w:rsidRPr="00C14CD2">
        <w:rPr>
          <w:rFonts w:ascii="Arial" w:hAnsi="Arial" w:cs="Arial"/>
          <w:color w:val="000000"/>
          <w:sz w:val="23"/>
          <w:szCs w:val="23"/>
        </w:rPr>
        <w:t> di suolo pubblico concesse, durante l’emergenza epidemiologica, a esercizi di ristorazione o di somministrazione di pasti e bevande (articolo 10-ter);</w:t>
      </w:r>
    </w:p>
    <w:p w14:paraId="4B09D866"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delle </w:t>
      </w:r>
      <w:r w:rsidRPr="00C14CD2">
        <w:rPr>
          <w:rFonts w:ascii="Arial" w:hAnsi="Arial" w:cs="Arial"/>
          <w:color w:val="000000"/>
          <w:sz w:val="23"/>
          <w:szCs w:val="23"/>
          <w:bdr w:val="none" w:sz="0" w:space="0" w:color="auto" w:frame="1"/>
        </w:rPr>
        <w:t>procedure semplificate</w:t>
      </w:r>
      <w:r w:rsidRPr="00C14CD2">
        <w:rPr>
          <w:rFonts w:ascii="Arial" w:hAnsi="Arial" w:cs="Arial"/>
          <w:color w:val="000000"/>
          <w:sz w:val="23"/>
          <w:szCs w:val="23"/>
        </w:rPr>
        <w:t> per la presentazione telematica delle domande di nuove concessioni per l’occupazione di suolo pubblico o di ampliamento delle superfici già concesse (articolo 22-quater).</w:t>
      </w:r>
    </w:p>
    <w:p w14:paraId="53BF9832"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t>Superbonus 110% e bonus edilizi minori</w:t>
      </w:r>
    </w:p>
    <w:p w14:paraId="783E9984"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lastRenderedPageBreak/>
        <w:t>L’entrata in vigore della legge di conversione del D.L. n. 21/2022 produce effetti anche per il superbonus 110% e i bonus edilizi minori.</w:t>
      </w:r>
    </w:p>
    <w:p w14:paraId="1494579D"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Viene </w:t>
      </w:r>
      <w:r w:rsidRPr="00C14CD2">
        <w:rPr>
          <w:rFonts w:ascii="Arial" w:hAnsi="Arial" w:cs="Arial"/>
          <w:color w:val="000000"/>
          <w:sz w:val="23"/>
          <w:szCs w:val="23"/>
          <w:bdr w:val="none" w:sz="0" w:space="0" w:color="auto" w:frame="1"/>
        </w:rPr>
        <w:t>introdotto</w:t>
      </w:r>
      <w:r w:rsidRPr="00C14CD2">
        <w:rPr>
          <w:rFonts w:ascii="Arial" w:hAnsi="Arial" w:cs="Arial"/>
          <w:color w:val="000000"/>
          <w:sz w:val="23"/>
          <w:szCs w:val="23"/>
        </w:rPr>
        <w:t> l’</w:t>
      </w:r>
      <w:r w:rsidRPr="00C14CD2">
        <w:rPr>
          <w:rFonts w:ascii="Arial" w:hAnsi="Arial" w:cs="Arial"/>
          <w:color w:val="000000"/>
          <w:sz w:val="23"/>
          <w:szCs w:val="23"/>
          <w:bdr w:val="none" w:sz="0" w:space="0" w:color="auto" w:frame="1"/>
        </w:rPr>
        <w:t>obbligo</w:t>
      </w:r>
      <w:r w:rsidRPr="00C14CD2">
        <w:rPr>
          <w:rFonts w:ascii="Arial" w:hAnsi="Arial" w:cs="Arial"/>
          <w:color w:val="000000"/>
          <w:sz w:val="23"/>
          <w:szCs w:val="23"/>
        </w:rPr>
        <w:t> dal </w:t>
      </w:r>
      <w:r w:rsidRPr="00C14CD2">
        <w:rPr>
          <w:rFonts w:ascii="Arial" w:hAnsi="Arial" w:cs="Arial"/>
          <w:color w:val="000000"/>
          <w:sz w:val="23"/>
          <w:szCs w:val="23"/>
          <w:bdr w:val="none" w:sz="0" w:space="0" w:color="auto" w:frame="1"/>
        </w:rPr>
        <w:t>2023</w:t>
      </w:r>
      <w:r w:rsidRPr="00C14CD2">
        <w:rPr>
          <w:rFonts w:ascii="Arial" w:hAnsi="Arial" w:cs="Arial"/>
          <w:color w:val="000000"/>
          <w:sz w:val="23"/>
          <w:szCs w:val="23"/>
        </w:rPr>
        <w:t> ai fini del riconoscimento del superbonus 110% e degli altri bonus edilizi contemplati dall’art. 121, c. 2, D.L. n. 34/2020, di affidare i lavori di importo superiore a </w:t>
      </w:r>
      <w:r w:rsidRPr="00C14CD2">
        <w:rPr>
          <w:rFonts w:ascii="Arial" w:hAnsi="Arial" w:cs="Arial"/>
          <w:color w:val="000000"/>
          <w:sz w:val="23"/>
          <w:szCs w:val="23"/>
          <w:bdr w:val="none" w:sz="0" w:space="0" w:color="auto" w:frame="1"/>
        </w:rPr>
        <w:t>516.000 euro</w:t>
      </w:r>
      <w:r w:rsidRPr="00C14CD2">
        <w:rPr>
          <w:rFonts w:ascii="Arial" w:hAnsi="Arial" w:cs="Arial"/>
          <w:color w:val="000000"/>
          <w:sz w:val="23"/>
          <w:szCs w:val="23"/>
        </w:rPr>
        <w:t> ad imprese appaltatrici e subappaltatrici che risultino titolari della </w:t>
      </w:r>
      <w:r w:rsidRPr="00C14CD2">
        <w:rPr>
          <w:rFonts w:ascii="Arial" w:hAnsi="Arial" w:cs="Arial"/>
          <w:color w:val="000000"/>
          <w:sz w:val="23"/>
          <w:szCs w:val="23"/>
          <w:bdr w:val="none" w:sz="0" w:space="0" w:color="auto" w:frame="1"/>
        </w:rPr>
        <w:t>certificazione SOA</w:t>
      </w:r>
      <w:r w:rsidRPr="00C14CD2">
        <w:rPr>
          <w:rFonts w:ascii="Arial" w:hAnsi="Arial" w:cs="Arial"/>
          <w:color w:val="000000"/>
          <w:sz w:val="23"/>
          <w:szCs w:val="23"/>
        </w:rPr>
        <w:t>, oppure, ma limitatamente al periodo 1° gennaio 2023-30 giugno 2023, almeno di un contratto sottoscritto per l’ottenimento del rilascio della certificazione SOA al momento della sottoscrizione del contratto di appalto, ovvero, in caso di imprese subappaltatrici, del contratto di subappalto. In quest’ultimo caso, ai fini della fruizione dei bonus edilizi, a decorrere dal 1° luglio 2023, le imprese devono avere l’attestazione di qualificazione SOA.</w:t>
      </w:r>
    </w:p>
    <w:p w14:paraId="19F1E2DA"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Tale stretta </w:t>
      </w:r>
      <w:r w:rsidRPr="00C14CD2">
        <w:rPr>
          <w:rFonts w:ascii="Arial" w:hAnsi="Arial" w:cs="Arial"/>
          <w:color w:val="000000"/>
          <w:sz w:val="23"/>
          <w:szCs w:val="23"/>
          <w:bdr w:val="none" w:sz="0" w:space="0" w:color="auto" w:frame="1"/>
        </w:rPr>
        <w:t>non si applica</w:t>
      </w:r>
      <w:r w:rsidRPr="00C14CD2">
        <w:rPr>
          <w:rFonts w:ascii="Arial" w:hAnsi="Arial" w:cs="Arial"/>
          <w:color w:val="000000"/>
          <w:sz w:val="23"/>
          <w:szCs w:val="23"/>
        </w:rPr>
        <w:t>:</w:t>
      </w:r>
    </w:p>
    <w:p w14:paraId="6F987D3D"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ai lavori in corso di esecuzione alla data di entrata in vigore della presente legge;</w:t>
      </w:r>
    </w:p>
    <w:p w14:paraId="48098844"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ai contratti di appalto o di subappalto aventi data certa anteriore alla data di entrata in vigore della presente legge (articolo 10-bis).</w:t>
      </w:r>
    </w:p>
    <w:p w14:paraId="30BD8354"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Si interviene sulla disposizione di cui all’art. 1, c. 43-bis, legge n. 234/202, che, per i lavori avviati dopo il 27 maggio 2022, subordina il riconoscimento di determinati benefici fiscali all’indicazione, nell’atto di affidamento degli interventi, che gli stessi sono eseguiti da datori di lavoro che applicano i contratti collettivi del settore edile, nazionale e territoriali, stipulati dalle associazioni datoriali e sindacali più rappresentative. Viene specificato che tale condizione si applica alle opere di importo complessivamente superiore a 70.000 euro e che l’obbligo riguarda esclusivamente i lavori edili come definiti dall’allegato X al D.lgs. 81/2008 (articolo 23-bis).</w:t>
      </w:r>
    </w:p>
    <w:p w14:paraId="7163F332"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t>Novità in materia di lavoro</w:t>
      </w:r>
    </w:p>
    <w:p w14:paraId="2275C285"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Diventano efficaci anche le diverse novità in materia di lavoro, tra le quali:</w:t>
      </w:r>
    </w:p>
    <w:p w14:paraId="1AB43DD0"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una </w:t>
      </w:r>
      <w:r w:rsidRPr="00C14CD2">
        <w:rPr>
          <w:rFonts w:ascii="Arial" w:hAnsi="Arial" w:cs="Arial"/>
          <w:color w:val="000000"/>
          <w:sz w:val="23"/>
          <w:szCs w:val="23"/>
          <w:bdr w:val="none" w:sz="0" w:space="0" w:color="auto" w:frame="1"/>
        </w:rPr>
        <w:t>nuova prestazione</w:t>
      </w:r>
      <w:r w:rsidRPr="00C14CD2">
        <w:rPr>
          <w:rFonts w:ascii="Arial" w:hAnsi="Arial" w:cs="Arial"/>
          <w:color w:val="000000"/>
          <w:sz w:val="23"/>
          <w:szCs w:val="23"/>
        </w:rPr>
        <w:t> dei </w:t>
      </w:r>
      <w:r w:rsidRPr="00C14CD2">
        <w:rPr>
          <w:rFonts w:ascii="Arial" w:hAnsi="Arial" w:cs="Arial"/>
          <w:color w:val="000000"/>
          <w:sz w:val="23"/>
          <w:szCs w:val="23"/>
          <w:bdr w:val="none" w:sz="0" w:space="0" w:color="auto" w:frame="1"/>
        </w:rPr>
        <w:t>Fondi di solidarietà bilaterali</w:t>
      </w:r>
      <w:r w:rsidRPr="00C14CD2">
        <w:rPr>
          <w:rFonts w:ascii="Arial" w:hAnsi="Arial" w:cs="Arial"/>
          <w:color w:val="000000"/>
          <w:sz w:val="23"/>
          <w:szCs w:val="23"/>
        </w:rPr>
        <w:t> per la “staffetta generazionale” (articolo 12-ter);</w:t>
      </w:r>
    </w:p>
    <w:p w14:paraId="0FB411B5"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la </w:t>
      </w:r>
      <w:r w:rsidRPr="00C14CD2">
        <w:rPr>
          <w:rFonts w:ascii="Arial" w:hAnsi="Arial" w:cs="Arial"/>
          <w:color w:val="000000"/>
          <w:sz w:val="23"/>
          <w:szCs w:val="23"/>
          <w:bdr w:val="none" w:sz="0" w:space="0" w:color="auto" w:frame="1"/>
        </w:rPr>
        <w:t>proroga</w:t>
      </w:r>
      <w:r w:rsidRPr="00C14CD2">
        <w:rPr>
          <w:rFonts w:ascii="Arial" w:hAnsi="Arial" w:cs="Arial"/>
          <w:color w:val="000000"/>
          <w:sz w:val="23"/>
          <w:szCs w:val="23"/>
        </w:rPr>
        <w:t>, fino al </w:t>
      </w:r>
      <w:r w:rsidRPr="00C14CD2">
        <w:rPr>
          <w:rFonts w:ascii="Arial" w:hAnsi="Arial" w:cs="Arial"/>
          <w:color w:val="000000"/>
          <w:sz w:val="23"/>
          <w:szCs w:val="23"/>
          <w:bdr w:val="none" w:sz="0" w:space="0" w:color="auto" w:frame="1"/>
        </w:rPr>
        <w:t>30 giugno 2024</w:t>
      </w:r>
      <w:r w:rsidRPr="00C14CD2">
        <w:rPr>
          <w:rFonts w:ascii="Arial" w:hAnsi="Arial" w:cs="Arial"/>
          <w:color w:val="000000"/>
          <w:sz w:val="23"/>
          <w:szCs w:val="23"/>
        </w:rPr>
        <w:t>, regime agevolato riferito alle missioni dei lavoratori somministrati (articolo 12-quinquies);</w:t>
      </w:r>
    </w:p>
    <w:p w14:paraId="0A1808A0"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le </w:t>
      </w:r>
      <w:r w:rsidRPr="00C14CD2">
        <w:rPr>
          <w:rFonts w:ascii="Arial" w:hAnsi="Arial" w:cs="Arial"/>
          <w:color w:val="000000"/>
          <w:sz w:val="23"/>
          <w:szCs w:val="23"/>
          <w:bdr w:val="none" w:sz="0" w:space="0" w:color="auto" w:frame="1"/>
        </w:rPr>
        <w:t>comunicazioni</w:t>
      </w:r>
      <w:r w:rsidRPr="00C14CD2">
        <w:rPr>
          <w:rFonts w:ascii="Arial" w:hAnsi="Arial" w:cs="Arial"/>
          <w:color w:val="000000"/>
          <w:sz w:val="23"/>
          <w:szCs w:val="23"/>
        </w:rPr>
        <w:t> di avvio attività dei lavoratori autonomi occasionali (articolo 12-sexies).</w:t>
      </w:r>
    </w:p>
    <w:p w14:paraId="570F9A9F"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bdr w:val="none" w:sz="0" w:space="0" w:color="auto" w:frame="1"/>
        </w:rPr>
        <w:t>Confermate</w:t>
      </w:r>
      <w:r w:rsidRPr="00C14CD2">
        <w:rPr>
          <w:rFonts w:ascii="Arial" w:hAnsi="Arial" w:cs="Arial"/>
          <w:color w:val="000000"/>
          <w:sz w:val="23"/>
          <w:szCs w:val="23"/>
        </w:rPr>
        <w:t> invece le disposizioni relative:</w:t>
      </w:r>
    </w:p>
    <w:p w14:paraId="0CAB9DF5"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alle misure in materia di trattamenti di </w:t>
      </w:r>
      <w:r w:rsidRPr="00C14CD2">
        <w:rPr>
          <w:rFonts w:ascii="Arial" w:hAnsi="Arial" w:cs="Arial"/>
          <w:color w:val="000000"/>
          <w:sz w:val="23"/>
          <w:szCs w:val="23"/>
          <w:bdr w:val="none" w:sz="0" w:space="0" w:color="auto" w:frame="1"/>
        </w:rPr>
        <w:t>integrazione salariale</w:t>
      </w:r>
      <w:r w:rsidRPr="00C14CD2">
        <w:rPr>
          <w:rFonts w:ascii="Arial" w:hAnsi="Arial" w:cs="Arial"/>
          <w:color w:val="000000"/>
          <w:sz w:val="23"/>
          <w:szCs w:val="23"/>
        </w:rPr>
        <w:t> (articolo 11);</w:t>
      </w:r>
    </w:p>
    <w:p w14:paraId="2ED76B77"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alla </w:t>
      </w:r>
      <w:r w:rsidRPr="00C14CD2">
        <w:rPr>
          <w:rFonts w:ascii="Arial" w:hAnsi="Arial" w:cs="Arial"/>
          <w:color w:val="000000"/>
          <w:sz w:val="23"/>
          <w:szCs w:val="23"/>
          <w:bdr w:val="none" w:sz="0" w:space="0" w:color="auto" w:frame="1"/>
        </w:rPr>
        <w:t>decontribuzione</w:t>
      </w:r>
      <w:r w:rsidRPr="00C14CD2">
        <w:rPr>
          <w:rFonts w:ascii="Arial" w:hAnsi="Arial" w:cs="Arial"/>
          <w:color w:val="000000"/>
          <w:sz w:val="23"/>
          <w:szCs w:val="23"/>
        </w:rPr>
        <w:t> per l’assunzione di lavoratori provenienti da imprese in crisi (articolo 12).</w:t>
      </w:r>
    </w:p>
    <w:p w14:paraId="19427532" w14:textId="77777777" w:rsidR="00C14CD2" w:rsidRPr="00C14CD2" w:rsidRDefault="00C14CD2" w:rsidP="00C14CD2">
      <w:pPr>
        <w:shd w:val="clear" w:color="auto" w:fill="FFFFFF"/>
        <w:spacing w:before="450" w:after="375" w:line="360" w:lineRule="atLeast"/>
        <w:textAlignment w:val="baseline"/>
        <w:outlineLvl w:val="1"/>
        <w:rPr>
          <w:rFonts w:ascii="Arial" w:hAnsi="Arial" w:cs="Arial"/>
          <w:color w:val="000000"/>
          <w:sz w:val="27"/>
          <w:szCs w:val="27"/>
        </w:rPr>
      </w:pPr>
      <w:r w:rsidRPr="00C14CD2">
        <w:rPr>
          <w:rFonts w:ascii="Arial" w:hAnsi="Arial" w:cs="Arial"/>
          <w:color w:val="000000"/>
          <w:sz w:val="27"/>
          <w:szCs w:val="27"/>
        </w:rPr>
        <w:t>Garanzie fondo PMI</w:t>
      </w:r>
    </w:p>
    <w:p w14:paraId="2596C526"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lastRenderedPageBreak/>
        <w:t>Entra in vigore anche la </w:t>
      </w:r>
      <w:r w:rsidRPr="00C14CD2">
        <w:rPr>
          <w:rFonts w:ascii="Arial" w:hAnsi="Arial" w:cs="Arial"/>
          <w:color w:val="000000"/>
          <w:sz w:val="23"/>
          <w:szCs w:val="23"/>
          <w:bdr w:val="none" w:sz="0" w:space="0" w:color="auto" w:frame="1"/>
        </w:rPr>
        <w:t>proroga</w:t>
      </w:r>
      <w:r w:rsidRPr="00C14CD2">
        <w:rPr>
          <w:rFonts w:ascii="Arial" w:hAnsi="Arial" w:cs="Arial"/>
          <w:color w:val="000000"/>
          <w:sz w:val="23"/>
          <w:szCs w:val="23"/>
        </w:rPr>
        <w:t> del periodo di </w:t>
      </w:r>
      <w:r w:rsidRPr="00C14CD2">
        <w:rPr>
          <w:rFonts w:ascii="Arial" w:hAnsi="Arial" w:cs="Arial"/>
          <w:color w:val="000000"/>
          <w:sz w:val="23"/>
          <w:szCs w:val="23"/>
          <w:bdr w:val="none" w:sz="0" w:space="0" w:color="auto" w:frame="1"/>
        </w:rPr>
        <w:t>preammortamento</w:t>
      </w:r>
      <w:r w:rsidRPr="00C14CD2">
        <w:rPr>
          <w:rFonts w:ascii="Arial" w:hAnsi="Arial" w:cs="Arial"/>
          <w:color w:val="000000"/>
          <w:sz w:val="23"/>
          <w:szCs w:val="23"/>
        </w:rPr>
        <w:t> per i prestiti garantiti dal Fondo PMI:</w:t>
      </w:r>
    </w:p>
    <w:p w14:paraId="24160F4F"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di importo </w:t>
      </w:r>
      <w:r w:rsidRPr="00C14CD2">
        <w:rPr>
          <w:rFonts w:ascii="Arial" w:hAnsi="Arial" w:cs="Arial"/>
          <w:color w:val="000000"/>
          <w:sz w:val="23"/>
          <w:szCs w:val="23"/>
          <w:bdr w:val="none" w:sz="0" w:space="0" w:color="auto" w:frame="1"/>
        </w:rPr>
        <w:t>non superiore</w:t>
      </w:r>
      <w:r w:rsidRPr="00C14CD2">
        <w:rPr>
          <w:rFonts w:ascii="Arial" w:hAnsi="Arial" w:cs="Arial"/>
          <w:color w:val="000000"/>
          <w:sz w:val="23"/>
          <w:szCs w:val="23"/>
        </w:rPr>
        <w:t> a </w:t>
      </w:r>
      <w:r w:rsidRPr="00C14CD2">
        <w:rPr>
          <w:rFonts w:ascii="Arial" w:hAnsi="Arial" w:cs="Arial"/>
          <w:color w:val="000000"/>
          <w:sz w:val="23"/>
          <w:szCs w:val="23"/>
          <w:bdr w:val="none" w:sz="0" w:space="0" w:color="auto" w:frame="1"/>
        </w:rPr>
        <w:t>30.000 euro</w:t>
      </w:r>
      <w:r w:rsidRPr="00C14CD2">
        <w:rPr>
          <w:rFonts w:ascii="Arial" w:hAnsi="Arial" w:cs="Arial"/>
          <w:color w:val="000000"/>
          <w:sz w:val="23"/>
          <w:szCs w:val="23"/>
        </w:rPr>
        <w:t> di cui all’art. 13, c. 1, lett. m), D.L. n. 23/2020. Per effetto della modifica, il rimborso della quota capitale non potrà iniziare prima di 30 mesi (anziché 24 mesi);</w:t>
      </w:r>
    </w:p>
    <w:p w14:paraId="7D560EA1" w14:textId="77777777" w:rsidR="00C14CD2" w:rsidRPr="00C14CD2" w:rsidRDefault="00C14CD2" w:rsidP="00C14CD2">
      <w:pPr>
        <w:shd w:val="clear" w:color="auto" w:fill="FFFFFF"/>
        <w:spacing w:line="315" w:lineRule="atLeast"/>
        <w:textAlignment w:val="baseline"/>
        <w:rPr>
          <w:rFonts w:ascii="Arial" w:hAnsi="Arial" w:cs="Arial"/>
          <w:color w:val="000000"/>
          <w:sz w:val="23"/>
          <w:szCs w:val="23"/>
        </w:rPr>
      </w:pPr>
      <w:r w:rsidRPr="00C14CD2">
        <w:rPr>
          <w:rFonts w:ascii="Arial" w:hAnsi="Arial" w:cs="Arial"/>
          <w:color w:val="000000"/>
          <w:sz w:val="23"/>
          <w:szCs w:val="23"/>
        </w:rPr>
        <w:t>- di importo </w:t>
      </w:r>
      <w:r w:rsidRPr="00C14CD2">
        <w:rPr>
          <w:rFonts w:ascii="Arial" w:hAnsi="Arial" w:cs="Arial"/>
          <w:color w:val="000000"/>
          <w:sz w:val="23"/>
          <w:szCs w:val="23"/>
          <w:bdr w:val="none" w:sz="0" w:space="0" w:color="auto" w:frame="1"/>
        </w:rPr>
        <w:t>superiore</w:t>
      </w:r>
      <w:r w:rsidRPr="00C14CD2">
        <w:rPr>
          <w:rFonts w:ascii="Arial" w:hAnsi="Arial" w:cs="Arial"/>
          <w:color w:val="000000"/>
          <w:sz w:val="23"/>
          <w:szCs w:val="23"/>
        </w:rPr>
        <w:t> a </w:t>
      </w:r>
      <w:r w:rsidRPr="00C14CD2">
        <w:rPr>
          <w:rFonts w:ascii="Arial" w:hAnsi="Arial" w:cs="Arial"/>
          <w:color w:val="000000"/>
          <w:sz w:val="23"/>
          <w:szCs w:val="23"/>
          <w:bdr w:val="none" w:sz="0" w:space="0" w:color="auto" w:frame="1"/>
        </w:rPr>
        <w:t>25.000 euro</w:t>
      </w:r>
      <w:r w:rsidRPr="00C14CD2">
        <w:rPr>
          <w:rFonts w:ascii="Arial" w:hAnsi="Arial" w:cs="Arial"/>
          <w:color w:val="000000"/>
          <w:sz w:val="23"/>
          <w:szCs w:val="23"/>
        </w:rPr>
        <w:t> di cui all’art. 13, c. 1, lett. p-bis), D.L. n. 23/2020. Per effetto della modifica, per i finanziamenti, il cui termine iniziale di rimborso del capitale inizia a decorrere in un periodo non antecedente al 1° giugno 2022, l'anzidetto termine, su richiesta del soggetto finanziato e previo accordo tra le parti, può essere differito di un periodo non superiore a 6 mesi, fermi restando gli obblighi di segnalazione e prudenziali.</w:t>
      </w:r>
    </w:p>
    <w:sectPr w:rsidR="00C14CD2" w:rsidRPr="00C14CD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7E68" w14:textId="77777777" w:rsidR="007B1DDB" w:rsidRDefault="007B1DDB">
      <w:r>
        <w:separator/>
      </w:r>
    </w:p>
  </w:endnote>
  <w:endnote w:type="continuationSeparator" w:id="0">
    <w:p w14:paraId="6522A821" w14:textId="77777777" w:rsidR="007B1DDB" w:rsidRDefault="007B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D342"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3A947CA5"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6D7E8E78"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B2C8B34"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66E51C3C"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5C54" w14:textId="77777777" w:rsidR="007B1DDB" w:rsidRDefault="007B1DDB">
      <w:r>
        <w:separator/>
      </w:r>
    </w:p>
  </w:footnote>
  <w:footnote w:type="continuationSeparator" w:id="0">
    <w:p w14:paraId="781FEBC7" w14:textId="77777777" w:rsidR="007B1DDB" w:rsidRDefault="007B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EE77" w14:textId="77777777" w:rsidR="005E2050" w:rsidRDefault="00090742">
    <w:pPr>
      <w:pStyle w:val="Intestazione"/>
    </w:pPr>
    <w:r>
      <w:rPr>
        <w:noProof/>
      </w:rPr>
      <w:drawing>
        <wp:anchor distT="0" distB="0" distL="114300" distR="114300" simplePos="0" relativeHeight="251657728" behindDoc="0" locked="0" layoutInCell="1" allowOverlap="1" wp14:anchorId="49E2B20D" wp14:editId="18D57657">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40BF8" w14:textId="77777777" w:rsidR="005E2050" w:rsidRDefault="005E2050">
    <w:pPr>
      <w:pStyle w:val="Intestazione"/>
    </w:pPr>
  </w:p>
  <w:p w14:paraId="44AC0089" w14:textId="77777777" w:rsidR="005E2050" w:rsidRDefault="005E2050">
    <w:pPr>
      <w:pStyle w:val="Intestazione"/>
    </w:pPr>
  </w:p>
  <w:p w14:paraId="159D60A3" w14:textId="77777777" w:rsidR="005E2050" w:rsidRDefault="005E2050" w:rsidP="0051460C">
    <w:pPr>
      <w:pStyle w:val="Intestazione"/>
      <w:tabs>
        <w:tab w:val="clear" w:pos="4819"/>
        <w:tab w:val="clear" w:pos="9638"/>
      </w:tabs>
      <w:jc w:val="center"/>
    </w:pPr>
    <w:r>
      <w:t>Professionisti d’Impresa</w:t>
    </w:r>
  </w:p>
  <w:p w14:paraId="51911106" w14:textId="77777777" w:rsidR="005E2050" w:rsidRDefault="005E2050" w:rsidP="0051460C">
    <w:pPr>
      <w:pStyle w:val="Intestazione"/>
      <w:tabs>
        <w:tab w:val="left" w:pos="142"/>
        <w:tab w:val="left" w:pos="180"/>
      </w:tabs>
      <w:jc w:val="center"/>
    </w:pPr>
    <w:r>
      <w:t>Studio di Consulenza Societaria e Tributaria</w:t>
    </w:r>
  </w:p>
  <w:p w14:paraId="4546FBC8"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6072"/>
    <w:multiLevelType w:val="multilevel"/>
    <w:tmpl w:val="8BC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88C0903"/>
    <w:multiLevelType w:val="multilevel"/>
    <w:tmpl w:val="B49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6"/>
  </w:num>
  <w:num w:numId="5">
    <w:abstractNumId w:val="9"/>
  </w:num>
  <w:num w:numId="6">
    <w:abstractNumId w:val="3"/>
  </w:num>
  <w:num w:numId="7">
    <w:abstractNumId w:val="7"/>
  </w:num>
  <w:num w:numId="8">
    <w:abstractNumId w:val="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702340"/>
    <w:rsid w:val="00733CA6"/>
    <w:rsid w:val="007B0EA7"/>
    <w:rsid w:val="007B1DDB"/>
    <w:rsid w:val="00830A14"/>
    <w:rsid w:val="00844330"/>
    <w:rsid w:val="00850DF5"/>
    <w:rsid w:val="00865DB1"/>
    <w:rsid w:val="008B0AE7"/>
    <w:rsid w:val="00997866"/>
    <w:rsid w:val="00A45B1A"/>
    <w:rsid w:val="00B52F06"/>
    <w:rsid w:val="00B54C6E"/>
    <w:rsid w:val="00BB03EA"/>
    <w:rsid w:val="00C14CD2"/>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3B643"/>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C14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C14CD2"/>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C14CD2"/>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C14C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5374">
      <w:bodyDiv w:val="1"/>
      <w:marLeft w:val="0"/>
      <w:marRight w:val="0"/>
      <w:marTop w:val="0"/>
      <w:marBottom w:val="0"/>
      <w:divBdr>
        <w:top w:val="none" w:sz="0" w:space="0" w:color="auto"/>
        <w:left w:val="none" w:sz="0" w:space="0" w:color="auto"/>
        <w:bottom w:val="none" w:sz="0" w:space="0" w:color="auto"/>
        <w:right w:val="none" w:sz="0" w:space="0" w:color="auto"/>
      </w:divBdr>
      <w:divsChild>
        <w:div w:id="32778468">
          <w:marLeft w:val="0"/>
          <w:marRight w:val="0"/>
          <w:marTop w:val="0"/>
          <w:marBottom w:val="0"/>
          <w:divBdr>
            <w:top w:val="none" w:sz="0" w:space="0" w:color="auto"/>
            <w:left w:val="none" w:sz="0" w:space="0" w:color="auto"/>
            <w:bottom w:val="none" w:sz="0" w:space="0" w:color="auto"/>
            <w:right w:val="none" w:sz="0" w:space="0" w:color="auto"/>
          </w:divBdr>
          <w:divsChild>
            <w:div w:id="967004312">
              <w:marLeft w:val="0"/>
              <w:marRight w:val="0"/>
              <w:marTop w:val="0"/>
              <w:marBottom w:val="0"/>
              <w:divBdr>
                <w:top w:val="none" w:sz="0" w:space="0" w:color="auto"/>
                <w:left w:val="none" w:sz="0" w:space="0" w:color="auto"/>
                <w:bottom w:val="none" w:sz="0" w:space="0" w:color="auto"/>
                <w:right w:val="none" w:sz="0" w:space="0" w:color="auto"/>
              </w:divBdr>
              <w:divsChild>
                <w:div w:id="1401636573">
                  <w:marLeft w:val="0"/>
                  <w:marRight w:val="0"/>
                  <w:marTop w:val="0"/>
                  <w:marBottom w:val="15"/>
                  <w:divBdr>
                    <w:top w:val="none" w:sz="0" w:space="0" w:color="auto"/>
                    <w:left w:val="none" w:sz="0" w:space="0" w:color="auto"/>
                    <w:bottom w:val="none" w:sz="0" w:space="0" w:color="auto"/>
                    <w:right w:val="none" w:sz="0" w:space="0" w:color="auto"/>
                  </w:divBdr>
                </w:div>
                <w:div w:id="2078431423">
                  <w:marLeft w:val="0"/>
                  <w:marRight w:val="0"/>
                  <w:marTop w:val="0"/>
                  <w:marBottom w:val="270"/>
                  <w:divBdr>
                    <w:top w:val="none" w:sz="0" w:space="0" w:color="auto"/>
                    <w:left w:val="none" w:sz="0" w:space="0" w:color="auto"/>
                    <w:bottom w:val="none" w:sz="0" w:space="0" w:color="auto"/>
                    <w:right w:val="none" w:sz="0" w:space="0" w:color="auto"/>
                  </w:divBdr>
                </w:div>
                <w:div w:id="89325933">
                  <w:marLeft w:val="0"/>
                  <w:marRight w:val="0"/>
                  <w:marTop w:val="0"/>
                  <w:marBottom w:val="0"/>
                  <w:divBdr>
                    <w:top w:val="none" w:sz="0" w:space="0" w:color="auto"/>
                    <w:left w:val="none" w:sz="0" w:space="0" w:color="auto"/>
                    <w:bottom w:val="none" w:sz="0" w:space="0" w:color="auto"/>
                    <w:right w:val="none" w:sz="0" w:space="0" w:color="auto"/>
                  </w:divBdr>
                  <w:divsChild>
                    <w:div w:id="2020229426">
                      <w:marLeft w:val="0"/>
                      <w:marRight w:val="0"/>
                      <w:marTop w:val="0"/>
                      <w:marBottom w:val="0"/>
                      <w:divBdr>
                        <w:top w:val="none" w:sz="0" w:space="0" w:color="auto"/>
                        <w:left w:val="none" w:sz="0" w:space="0" w:color="auto"/>
                        <w:bottom w:val="none" w:sz="0" w:space="0" w:color="auto"/>
                        <w:right w:val="none" w:sz="0" w:space="0" w:color="auto"/>
                      </w:divBdr>
                      <w:divsChild>
                        <w:div w:id="125048717">
                          <w:marLeft w:val="0"/>
                          <w:marRight w:val="0"/>
                          <w:marTop w:val="45"/>
                          <w:marBottom w:val="0"/>
                          <w:divBdr>
                            <w:top w:val="single" w:sz="6" w:space="11" w:color="000000"/>
                            <w:left w:val="none" w:sz="0" w:space="0" w:color="auto"/>
                            <w:bottom w:val="none" w:sz="0" w:space="0" w:color="auto"/>
                            <w:right w:val="none" w:sz="0" w:space="0" w:color="auto"/>
                          </w:divBdr>
                          <w:divsChild>
                            <w:div w:id="1187676089">
                              <w:marLeft w:val="0"/>
                              <w:marRight w:val="0"/>
                              <w:marTop w:val="75"/>
                              <w:marBottom w:val="0"/>
                              <w:divBdr>
                                <w:top w:val="none" w:sz="0" w:space="0" w:color="auto"/>
                                <w:left w:val="none" w:sz="0" w:space="0" w:color="auto"/>
                                <w:bottom w:val="none" w:sz="0" w:space="0" w:color="auto"/>
                                <w:right w:val="none" w:sz="0" w:space="0" w:color="auto"/>
                              </w:divBdr>
                              <w:divsChild>
                                <w:div w:id="19529801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96504900">
                      <w:marLeft w:val="0"/>
                      <w:marRight w:val="0"/>
                      <w:marTop w:val="0"/>
                      <w:marBottom w:val="0"/>
                      <w:divBdr>
                        <w:top w:val="none" w:sz="0" w:space="0" w:color="auto"/>
                        <w:left w:val="none" w:sz="0" w:space="0" w:color="auto"/>
                        <w:bottom w:val="none" w:sz="0" w:space="0" w:color="auto"/>
                        <w:right w:val="none" w:sz="0" w:space="0" w:color="auto"/>
                      </w:divBdr>
                      <w:divsChild>
                        <w:div w:id="1770154115">
                          <w:marLeft w:val="0"/>
                          <w:marRight w:val="0"/>
                          <w:marTop w:val="0"/>
                          <w:marBottom w:val="0"/>
                          <w:divBdr>
                            <w:top w:val="none" w:sz="0" w:space="0" w:color="auto"/>
                            <w:left w:val="none" w:sz="0" w:space="0" w:color="auto"/>
                            <w:bottom w:val="none" w:sz="0" w:space="0" w:color="auto"/>
                            <w:right w:val="none" w:sz="0" w:space="0" w:color="auto"/>
                          </w:divBdr>
                          <w:divsChild>
                            <w:div w:id="775755950">
                              <w:marLeft w:val="0"/>
                              <w:marRight w:val="0"/>
                              <w:marTop w:val="0"/>
                              <w:marBottom w:val="300"/>
                              <w:divBdr>
                                <w:top w:val="none" w:sz="0" w:space="0" w:color="auto"/>
                                <w:left w:val="none" w:sz="0" w:space="0" w:color="auto"/>
                                <w:bottom w:val="none" w:sz="0" w:space="0" w:color="auto"/>
                                <w:right w:val="none" w:sz="0" w:space="0" w:color="auto"/>
                              </w:divBdr>
                              <w:divsChild>
                                <w:div w:id="1158962977">
                                  <w:marLeft w:val="0"/>
                                  <w:marRight w:val="0"/>
                                  <w:marTop w:val="0"/>
                                  <w:marBottom w:val="300"/>
                                  <w:divBdr>
                                    <w:top w:val="none" w:sz="0" w:space="0" w:color="auto"/>
                                    <w:left w:val="none" w:sz="0" w:space="0" w:color="auto"/>
                                    <w:bottom w:val="none" w:sz="0" w:space="0" w:color="auto"/>
                                    <w:right w:val="none" w:sz="0" w:space="0" w:color="auto"/>
                                  </w:divBdr>
                                </w:div>
                                <w:div w:id="185144410">
                                  <w:marLeft w:val="0"/>
                                  <w:marRight w:val="0"/>
                                  <w:marTop w:val="0"/>
                                  <w:marBottom w:val="300"/>
                                  <w:divBdr>
                                    <w:top w:val="none" w:sz="0" w:space="0" w:color="auto"/>
                                    <w:left w:val="none" w:sz="0" w:space="0" w:color="auto"/>
                                    <w:bottom w:val="none" w:sz="0" w:space="0" w:color="auto"/>
                                    <w:right w:val="none" w:sz="0" w:space="0" w:color="auto"/>
                                  </w:divBdr>
                                </w:div>
                                <w:div w:id="1459911918">
                                  <w:marLeft w:val="0"/>
                                  <w:marRight w:val="0"/>
                                  <w:marTop w:val="0"/>
                                  <w:marBottom w:val="300"/>
                                  <w:divBdr>
                                    <w:top w:val="none" w:sz="0" w:space="0" w:color="auto"/>
                                    <w:left w:val="none" w:sz="0" w:space="0" w:color="auto"/>
                                    <w:bottom w:val="none" w:sz="0" w:space="0" w:color="auto"/>
                                    <w:right w:val="none" w:sz="0" w:space="0" w:color="auto"/>
                                  </w:divBdr>
                                </w:div>
                                <w:div w:id="1527989369">
                                  <w:marLeft w:val="0"/>
                                  <w:marRight w:val="0"/>
                                  <w:marTop w:val="0"/>
                                  <w:marBottom w:val="300"/>
                                  <w:divBdr>
                                    <w:top w:val="none" w:sz="0" w:space="0" w:color="auto"/>
                                    <w:left w:val="none" w:sz="0" w:space="0" w:color="auto"/>
                                    <w:bottom w:val="none" w:sz="0" w:space="0" w:color="auto"/>
                                    <w:right w:val="none" w:sz="0" w:space="0" w:color="auto"/>
                                  </w:divBdr>
                                </w:div>
                                <w:div w:id="1689283990">
                                  <w:marLeft w:val="0"/>
                                  <w:marRight w:val="0"/>
                                  <w:marTop w:val="0"/>
                                  <w:marBottom w:val="300"/>
                                  <w:divBdr>
                                    <w:top w:val="none" w:sz="0" w:space="0" w:color="auto"/>
                                    <w:left w:val="none" w:sz="0" w:space="0" w:color="auto"/>
                                    <w:bottom w:val="none" w:sz="0" w:space="0" w:color="auto"/>
                                    <w:right w:val="none" w:sz="0" w:space="0" w:color="auto"/>
                                  </w:divBdr>
                                </w:div>
                                <w:div w:id="1038580950">
                                  <w:marLeft w:val="0"/>
                                  <w:marRight w:val="0"/>
                                  <w:marTop w:val="0"/>
                                  <w:marBottom w:val="300"/>
                                  <w:divBdr>
                                    <w:top w:val="none" w:sz="0" w:space="0" w:color="auto"/>
                                    <w:left w:val="none" w:sz="0" w:space="0" w:color="auto"/>
                                    <w:bottom w:val="none" w:sz="0" w:space="0" w:color="auto"/>
                                    <w:right w:val="none" w:sz="0" w:space="0" w:color="auto"/>
                                  </w:divBdr>
                                </w:div>
                                <w:div w:id="1542286570">
                                  <w:marLeft w:val="0"/>
                                  <w:marRight w:val="0"/>
                                  <w:marTop w:val="0"/>
                                  <w:marBottom w:val="300"/>
                                  <w:divBdr>
                                    <w:top w:val="none" w:sz="0" w:space="0" w:color="auto"/>
                                    <w:left w:val="none" w:sz="0" w:space="0" w:color="auto"/>
                                    <w:bottom w:val="none" w:sz="0" w:space="0" w:color="auto"/>
                                    <w:right w:val="none" w:sz="0" w:space="0" w:color="auto"/>
                                  </w:divBdr>
                                </w:div>
                                <w:div w:id="121310594">
                                  <w:marLeft w:val="0"/>
                                  <w:marRight w:val="0"/>
                                  <w:marTop w:val="0"/>
                                  <w:marBottom w:val="300"/>
                                  <w:divBdr>
                                    <w:top w:val="none" w:sz="0" w:space="0" w:color="auto"/>
                                    <w:left w:val="none" w:sz="0" w:space="0" w:color="auto"/>
                                    <w:bottom w:val="none" w:sz="0" w:space="0" w:color="auto"/>
                                    <w:right w:val="none" w:sz="0" w:space="0" w:color="auto"/>
                                  </w:divBdr>
                                </w:div>
                                <w:div w:id="1056472458">
                                  <w:marLeft w:val="0"/>
                                  <w:marRight w:val="0"/>
                                  <w:marTop w:val="0"/>
                                  <w:marBottom w:val="300"/>
                                  <w:divBdr>
                                    <w:top w:val="none" w:sz="0" w:space="0" w:color="auto"/>
                                    <w:left w:val="none" w:sz="0" w:space="0" w:color="auto"/>
                                    <w:bottom w:val="none" w:sz="0" w:space="0" w:color="auto"/>
                                    <w:right w:val="none" w:sz="0" w:space="0" w:color="auto"/>
                                  </w:divBdr>
                                </w:div>
                                <w:div w:id="842554136">
                                  <w:marLeft w:val="0"/>
                                  <w:marRight w:val="0"/>
                                  <w:marTop w:val="0"/>
                                  <w:marBottom w:val="300"/>
                                  <w:divBdr>
                                    <w:top w:val="none" w:sz="0" w:space="0" w:color="auto"/>
                                    <w:left w:val="none" w:sz="0" w:space="0" w:color="auto"/>
                                    <w:bottom w:val="none" w:sz="0" w:space="0" w:color="auto"/>
                                    <w:right w:val="none" w:sz="0" w:space="0" w:color="auto"/>
                                  </w:divBdr>
                                </w:div>
                                <w:div w:id="1260406820">
                                  <w:marLeft w:val="0"/>
                                  <w:marRight w:val="0"/>
                                  <w:marTop w:val="0"/>
                                  <w:marBottom w:val="300"/>
                                  <w:divBdr>
                                    <w:top w:val="none" w:sz="0" w:space="0" w:color="auto"/>
                                    <w:left w:val="none" w:sz="0" w:space="0" w:color="auto"/>
                                    <w:bottom w:val="none" w:sz="0" w:space="0" w:color="auto"/>
                                    <w:right w:val="none" w:sz="0" w:space="0" w:color="auto"/>
                                  </w:divBdr>
                                </w:div>
                                <w:div w:id="855537795">
                                  <w:marLeft w:val="0"/>
                                  <w:marRight w:val="0"/>
                                  <w:marTop w:val="0"/>
                                  <w:marBottom w:val="300"/>
                                  <w:divBdr>
                                    <w:top w:val="none" w:sz="0" w:space="0" w:color="auto"/>
                                    <w:left w:val="none" w:sz="0" w:space="0" w:color="auto"/>
                                    <w:bottom w:val="none" w:sz="0" w:space="0" w:color="auto"/>
                                    <w:right w:val="none" w:sz="0" w:space="0" w:color="auto"/>
                                  </w:divBdr>
                                </w:div>
                                <w:div w:id="2006738837">
                                  <w:marLeft w:val="0"/>
                                  <w:marRight w:val="0"/>
                                  <w:marTop w:val="0"/>
                                  <w:marBottom w:val="300"/>
                                  <w:divBdr>
                                    <w:top w:val="none" w:sz="0" w:space="0" w:color="auto"/>
                                    <w:left w:val="none" w:sz="0" w:space="0" w:color="auto"/>
                                    <w:bottom w:val="none" w:sz="0" w:space="0" w:color="auto"/>
                                    <w:right w:val="none" w:sz="0" w:space="0" w:color="auto"/>
                                  </w:divBdr>
                                </w:div>
                                <w:div w:id="1467971360">
                                  <w:marLeft w:val="0"/>
                                  <w:marRight w:val="0"/>
                                  <w:marTop w:val="0"/>
                                  <w:marBottom w:val="300"/>
                                  <w:divBdr>
                                    <w:top w:val="none" w:sz="0" w:space="0" w:color="auto"/>
                                    <w:left w:val="none" w:sz="0" w:space="0" w:color="auto"/>
                                    <w:bottom w:val="none" w:sz="0" w:space="0" w:color="auto"/>
                                    <w:right w:val="none" w:sz="0" w:space="0" w:color="auto"/>
                                  </w:divBdr>
                                </w:div>
                                <w:div w:id="1086222379">
                                  <w:marLeft w:val="0"/>
                                  <w:marRight w:val="0"/>
                                  <w:marTop w:val="0"/>
                                  <w:marBottom w:val="300"/>
                                  <w:divBdr>
                                    <w:top w:val="none" w:sz="0" w:space="0" w:color="auto"/>
                                    <w:left w:val="none" w:sz="0" w:space="0" w:color="auto"/>
                                    <w:bottom w:val="none" w:sz="0" w:space="0" w:color="auto"/>
                                    <w:right w:val="none" w:sz="0" w:space="0" w:color="auto"/>
                                  </w:divBdr>
                                </w:div>
                                <w:div w:id="1184171466">
                                  <w:marLeft w:val="0"/>
                                  <w:marRight w:val="0"/>
                                  <w:marTop w:val="0"/>
                                  <w:marBottom w:val="300"/>
                                  <w:divBdr>
                                    <w:top w:val="none" w:sz="0" w:space="0" w:color="auto"/>
                                    <w:left w:val="none" w:sz="0" w:space="0" w:color="auto"/>
                                    <w:bottom w:val="none" w:sz="0" w:space="0" w:color="auto"/>
                                    <w:right w:val="none" w:sz="0" w:space="0" w:color="auto"/>
                                  </w:divBdr>
                                </w:div>
                                <w:div w:id="707528683">
                                  <w:marLeft w:val="0"/>
                                  <w:marRight w:val="0"/>
                                  <w:marTop w:val="0"/>
                                  <w:marBottom w:val="300"/>
                                  <w:divBdr>
                                    <w:top w:val="none" w:sz="0" w:space="0" w:color="auto"/>
                                    <w:left w:val="none" w:sz="0" w:space="0" w:color="auto"/>
                                    <w:bottom w:val="none" w:sz="0" w:space="0" w:color="auto"/>
                                    <w:right w:val="none" w:sz="0" w:space="0" w:color="auto"/>
                                  </w:divBdr>
                                </w:div>
                                <w:div w:id="1576084297">
                                  <w:marLeft w:val="0"/>
                                  <w:marRight w:val="0"/>
                                  <w:marTop w:val="0"/>
                                  <w:marBottom w:val="300"/>
                                  <w:divBdr>
                                    <w:top w:val="none" w:sz="0" w:space="0" w:color="auto"/>
                                    <w:left w:val="none" w:sz="0" w:space="0" w:color="auto"/>
                                    <w:bottom w:val="none" w:sz="0" w:space="0" w:color="auto"/>
                                    <w:right w:val="none" w:sz="0" w:space="0" w:color="auto"/>
                                  </w:divBdr>
                                </w:div>
                                <w:div w:id="1062173487">
                                  <w:marLeft w:val="0"/>
                                  <w:marRight w:val="0"/>
                                  <w:marTop w:val="0"/>
                                  <w:marBottom w:val="300"/>
                                  <w:divBdr>
                                    <w:top w:val="none" w:sz="0" w:space="0" w:color="auto"/>
                                    <w:left w:val="none" w:sz="0" w:space="0" w:color="auto"/>
                                    <w:bottom w:val="none" w:sz="0" w:space="0" w:color="auto"/>
                                    <w:right w:val="none" w:sz="0" w:space="0" w:color="auto"/>
                                  </w:divBdr>
                                </w:div>
                                <w:div w:id="1566336028">
                                  <w:marLeft w:val="0"/>
                                  <w:marRight w:val="0"/>
                                  <w:marTop w:val="0"/>
                                  <w:marBottom w:val="300"/>
                                  <w:divBdr>
                                    <w:top w:val="none" w:sz="0" w:space="0" w:color="auto"/>
                                    <w:left w:val="none" w:sz="0" w:space="0" w:color="auto"/>
                                    <w:bottom w:val="none" w:sz="0" w:space="0" w:color="auto"/>
                                    <w:right w:val="none" w:sz="0" w:space="0" w:color="auto"/>
                                  </w:divBdr>
                                </w:div>
                                <w:div w:id="963775704">
                                  <w:marLeft w:val="0"/>
                                  <w:marRight w:val="0"/>
                                  <w:marTop w:val="0"/>
                                  <w:marBottom w:val="300"/>
                                  <w:divBdr>
                                    <w:top w:val="none" w:sz="0" w:space="0" w:color="auto"/>
                                    <w:left w:val="none" w:sz="0" w:space="0" w:color="auto"/>
                                    <w:bottom w:val="none" w:sz="0" w:space="0" w:color="auto"/>
                                    <w:right w:val="none" w:sz="0" w:space="0" w:color="auto"/>
                                  </w:divBdr>
                                </w:div>
                                <w:div w:id="1157501701">
                                  <w:marLeft w:val="0"/>
                                  <w:marRight w:val="0"/>
                                  <w:marTop w:val="0"/>
                                  <w:marBottom w:val="300"/>
                                  <w:divBdr>
                                    <w:top w:val="none" w:sz="0" w:space="0" w:color="auto"/>
                                    <w:left w:val="none" w:sz="0" w:space="0" w:color="auto"/>
                                    <w:bottom w:val="none" w:sz="0" w:space="0" w:color="auto"/>
                                    <w:right w:val="none" w:sz="0" w:space="0" w:color="auto"/>
                                  </w:divBdr>
                                </w:div>
                                <w:div w:id="685668260">
                                  <w:marLeft w:val="0"/>
                                  <w:marRight w:val="0"/>
                                  <w:marTop w:val="0"/>
                                  <w:marBottom w:val="300"/>
                                  <w:divBdr>
                                    <w:top w:val="none" w:sz="0" w:space="0" w:color="auto"/>
                                    <w:left w:val="none" w:sz="0" w:space="0" w:color="auto"/>
                                    <w:bottom w:val="none" w:sz="0" w:space="0" w:color="auto"/>
                                    <w:right w:val="none" w:sz="0" w:space="0" w:color="auto"/>
                                  </w:divBdr>
                                </w:div>
                                <w:div w:id="2023508352">
                                  <w:marLeft w:val="0"/>
                                  <w:marRight w:val="0"/>
                                  <w:marTop w:val="0"/>
                                  <w:marBottom w:val="300"/>
                                  <w:divBdr>
                                    <w:top w:val="none" w:sz="0" w:space="0" w:color="auto"/>
                                    <w:left w:val="none" w:sz="0" w:space="0" w:color="auto"/>
                                    <w:bottom w:val="none" w:sz="0" w:space="0" w:color="auto"/>
                                    <w:right w:val="none" w:sz="0" w:space="0" w:color="auto"/>
                                  </w:divBdr>
                                </w:div>
                                <w:div w:id="1238247202">
                                  <w:marLeft w:val="0"/>
                                  <w:marRight w:val="0"/>
                                  <w:marTop w:val="0"/>
                                  <w:marBottom w:val="300"/>
                                  <w:divBdr>
                                    <w:top w:val="none" w:sz="0" w:space="0" w:color="auto"/>
                                    <w:left w:val="none" w:sz="0" w:space="0" w:color="auto"/>
                                    <w:bottom w:val="none" w:sz="0" w:space="0" w:color="auto"/>
                                    <w:right w:val="none" w:sz="0" w:space="0" w:color="auto"/>
                                  </w:divBdr>
                                </w:div>
                                <w:div w:id="1188982516">
                                  <w:marLeft w:val="0"/>
                                  <w:marRight w:val="0"/>
                                  <w:marTop w:val="0"/>
                                  <w:marBottom w:val="300"/>
                                  <w:divBdr>
                                    <w:top w:val="none" w:sz="0" w:space="0" w:color="auto"/>
                                    <w:left w:val="none" w:sz="0" w:space="0" w:color="auto"/>
                                    <w:bottom w:val="none" w:sz="0" w:space="0" w:color="auto"/>
                                    <w:right w:val="none" w:sz="0" w:space="0" w:color="auto"/>
                                  </w:divBdr>
                                </w:div>
                                <w:div w:id="879559802">
                                  <w:marLeft w:val="0"/>
                                  <w:marRight w:val="0"/>
                                  <w:marTop w:val="0"/>
                                  <w:marBottom w:val="300"/>
                                  <w:divBdr>
                                    <w:top w:val="none" w:sz="0" w:space="0" w:color="auto"/>
                                    <w:left w:val="none" w:sz="0" w:space="0" w:color="auto"/>
                                    <w:bottom w:val="none" w:sz="0" w:space="0" w:color="auto"/>
                                    <w:right w:val="none" w:sz="0" w:space="0" w:color="auto"/>
                                  </w:divBdr>
                                </w:div>
                                <w:div w:id="1200582731">
                                  <w:marLeft w:val="0"/>
                                  <w:marRight w:val="0"/>
                                  <w:marTop w:val="0"/>
                                  <w:marBottom w:val="300"/>
                                  <w:divBdr>
                                    <w:top w:val="none" w:sz="0" w:space="0" w:color="auto"/>
                                    <w:left w:val="none" w:sz="0" w:space="0" w:color="auto"/>
                                    <w:bottom w:val="none" w:sz="0" w:space="0" w:color="auto"/>
                                    <w:right w:val="none" w:sz="0" w:space="0" w:color="auto"/>
                                  </w:divBdr>
                                </w:div>
                                <w:div w:id="328337500">
                                  <w:marLeft w:val="0"/>
                                  <w:marRight w:val="0"/>
                                  <w:marTop w:val="0"/>
                                  <w:marBottom w:val="300"/>
                                  <w:divBdr>
                                    <w:top w:val="none" w:sz="0" w:space="0" w:color="auto"/>
                                    <w:left w:val="none" w:sz="0" w:space="0" w:color="auto"/>
                                    <w:bottom w:val="none" w:sz="0" w:space="0" w:color="auto"/>
                                    <w:right w:val="none" w:sz="0" w:space="0" w:color="auto"/>
                                  </w:divBdr>
                                </w:div>
                                <w:div w:id="1018233966">
                                  <w:marLeft w:val="0"/>
                                  <w:marRight w:val="0"/>
                                  <w:marTop w:val="0"/>
                                  <w:marBottom w:val="300"/>
                                  <w:divBdr>
                                    <w:top w:val="none" w:sz="0" w:space="0" w:color="auto"/>
                                    <w:left w:val="none" w:sz="0" w:space="0" w:color="auto"/>
                                    <w:bottom w:val="none" w:sz="0" w:space="0" w:color="auto"/>
                                    <w:right w:val="none" w:sz="0" w:space="0" w:color="auto"/>
                                  </w:divBdr>
                                </w:div>
                                <w:div w:id="1830635311">
                                  <w:marLeft w:val="0"/>
                                  <w:marRight w:val="0"/>
                                  <w:marTop w:val="0"/>
                                  <w:marBottom w:val="300"/>
                                  <w:divBdr>
                                    <w:top w:val="none" w:sz="0" w:space="0" w:color="auto"/>
                                    <w:left w:val="none" w:sz="0" w:space="0" w:color="auto"/>
                                    <w:bottom w:val="none" w:sz="0" w:space="0" w:color="auto"/>
                                    <w:right w:val="none" w:sz="0" w:space="0" w:color="auto"/>
                                  </w:divBdr>
                                </w:div>
                                <w:div w:id="1974866472">
                                  <w:marLeft w:val="0"/>
                                  <w:marRight w:val="0"/>
                                  <w:marTop w:val="0"/>
                                  <w:marBottom w:val="300"/>
                                  <w:divBdr>
                                    <w:top w:val="none" w:sz="0" w:space="0" w:color="auto"/>
                                    <w:left w:val="none" w:sz="0" w:space="0" w:color="auto"/>
                                    <w:bottom w:val="none" w:sz="0" w:space="0" w:color="auto"/>
                                    <w:right w:val="none" w:sz="0" w:space="0" w:color="auto"/>
                                  </w:divBdr>
                                </w:div>
                                <w:div w:id="684020948">
                                  <w:marLeft w:val="0"/>
                                  <w:marRight w:val="0"/>
                                  <w:marTop w:val="0"/>
                                  <w:marBottom w:val="300"/>
                                  <w:divBdr>
                                    <w:top w:val="none" w:sz="0" w:space="0" w:color="auto"/>
                                    <w:left w:val="none" w:sz="0" w:space="0" w:color="auto"/>
                                    <w:bottom w:val="none" w:sz="0" w:space="0" w:color="auto"/>
                                    <w:right w:val="none" w:sz="0" w:space="0" w:color="auto"/>
                                  </w:divBdr>
                                </w:div>
                                <w:div w:id="1680111462">
                                  <w:marLeft w:val="0"/>
                                  <w:marRight w:val="0"/>
                                  <w:marTop w:val="0"/>
                                  <w:marBottom w:val="300"/>
                                  <w:divBdr>
                                    <w:top w:val="none" w:sz="0" w:space="0" w:color="auto"/>
                                    <w:left w:val="none" w:sz="0" w:space="0" w:color="auto"/>
                                    <w:bottom w:val="none" w:sz="0" w:space="0" w:color="auto"/>
                                    <w:right w:val="none" w:sz="0" w:space="0" w:color="auto"/>
                                  </w:divBdr>
                                </w:div>
                                <w:div w:id="832138839">
                                  <w:marLeft w:val="0"/>
                                  <w:marRight w:val="0"/>
                                  <w:marTop w:val="0"/>
                                  <w:marBottom w:val="300"/>
                                  <w:divBdr>
                                    <w:top w:val="none" w:sz="0" w:space="0" w:color="auto"/>
                                    <w:left w:val="none" w:sz="0" w:space="0" w:color="auto"/>
                                    <w:bottom w:val="none" w:sz="0" w:space="0" w:color="auto"/>
                                    <w:right w:val="none" w:sz="0" w:space="0" w:color="auto"/>
                                  </w:divBdr>
                                </w:div>
                                <w:div w:id="8588583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62991553">
              <w:marLeft w:val="-300"/>
              <w:marRight w:val="-300"/>
              <w:marTop w:val="0"/>
              <w:marBottom w:val="0"/>
              <w:divBdr>
                <w:top w:val="none" w:sz="0" w:space="0" w:color="auto"/>
                <w:left w:val="none" w:sz="0" w:space="0" w:color="auto"/>
                <w:bottom w:val="none" w:sz="0" w:space="0" w:color="auto"/>
                <w:right w:val="none" w:sz="0" w:space="0" w:color="auto"/>
              </w:divBdr>
              <w:divsChild>
                <w:div w:id="967275717">
                  <w:marLeft w:val="0"/>
                  <w:marRight w:val="0"/>
                  <w:marTop w:val="100"/>
                  <w:marBottom w:val="100"/>
                  <w:divBdr>
                    <w:top w:val="none" w:sz="0" w:space="0" w:color="auto"/>
                    <w:left w:val="none" w:sz="0" w:space="0" w:color="auto"/>
                    <w:bottom w:val="none" w:sz="0" w:space="0" w:color="auto"/>
                    <w:right w:val="none" w:sz="0" w:space="0" w:color="auto"/>
                  </w:divBdr>
                  <w:divsChild>
                    <w:div w:id="1686898843">
                      <w:marLeft w:val="0"/>
                      <w:marRight w:val="0"/>
                      <w:marTop w:val="0"/>
                      <w:marBottom w:val="525"/>
                      <w:divBdr>
                        <w:top w:val="none" w:sz="0" w:space="0" w:color="auto"/>
                        <w:left w:val="none" w:sz="0" w:space="0" w:color="auto"/>
                        <w:bottom w:val="none" w:sz="0" w:space="0" w:color="auto"/>
                        <w:right w:val="none" w:sz="0" w:space="0" w:color="auto"/>
                      </w:divBdr>
                    </w:div>
                  </w:divsChild>
                </w:div>
                <w:div w:id="1160082042">
                  <w:marLeft w:val="0"/>
                  <w:marRight w:val="0"/>
                  <w:marTop w:val="100"/>
                  <w:marBottom w:val="100"/>
                  <w:divBdr>
                    <w:top w:val="none" w:sz="0" w:space="0" w:color="auto"/>
                    <w:left w:val="none" w:sz="0" w:space="0" w:color="auto"/>
                    <w:bottom w:val="none" w:sz="0" w:space="0" w:color="auto"/>
                    <w:right w:val="none" w:sz="0" w:space="0" w:color="auto"/>
                  </w:divBdr>
                  <w:divsChild>
                    <w:div w:id="1835680207">
                      <w:marLeft w:val="-300"/>
                      <w:marRight w:val="-300"/>
                      <w:marTop w:val="0"/>
                      <w:marBottom w:val="0"/>
                      <w:divBdr>
                        <w:top w:val="none" w:sz="0" w:space="0" w:color="auto"/>
                        <w:left w:val="none" w:sz="0" w:space="0" w:color="auto"/>
                        <w:bottom w:val="none" w:sz="0" w:space="0" w:color="auto"/>
                        <w:right w:val="none" w:sz="0" w:space="0" w:color="auto"/>
                      </w:divBdr>
                      <w:divsChild>
                        <w:div w:id="1442187218">
                          <w:marLeft w:val="0"/>
                          <w:marRight w:val="0"/>
                          <w:marTop w:val="100"/>
                          <w:marBottom w:val="100"/>
                          <w:divBdr>
                            <w:top w:val="none" w:sz="0" w:space="0" w:color="auto"/>
                            <w:left w:val="none" w:sz="0" w:space="0" w:color="auto"/>
                            <w:bottom w:val="none" w:sz="0" w:space="0" w:color="auto"/>
                            <w:right w:val="none" w:sz="0" w:space="0" w:color="auto"/>
                          </w:divBdr>
                          <w:divsChild>
                            <w:div w:id="1541353831">
                              <w:marLeft w:val="0"/>
                              <w:marRight w:val="0"/>
                              <w:marTop w:val="0"/>
                              <w:marBottom w:val="0"/>
                              <w:divBdr>
                                <w:top w:val="none" w:sz="0" w:space="0" w:color="auto"/>
                                <w:left w:val="none" w:sz="0" w:space="0" w:color="auto"/>
                                <w:bottom w:val="none" w:sz="0" w:space="0" w:color="auto"/>
                                <w:right w:val="none" w:sz="0" w:space="0" w:color="auto"/>
                              </w:divBdr>
                            </w:div>
                          </w:divsChild>
                        </w:div>
                        <w:div w:id="1980067461">
                          <w:marLeft w:val="0"/>
                          <w:marRight w:val="0"/>
                          <w:marTop w:val="100"/>
                          <w:marBottom w:val="100"/>
                          <w:divBdr>
                            <w:top w:val="none" w:sz="0" w:space="0" w:color="auto"/>
                            <w:left w:val="none" w:sz="0" w:space="0" w:color="auto"/>
                            <w:bottom w:val="none" w:sz="0" w:space="0" w:color="auto"/>
                            <w:right w:val="none" w:sz="0" w:space="0" w:color="auto"/>
                          </w:divBdr>
                          <w:divsChild>
                            <w:div w:id="935480272">
                              <w:marLeft w:val="0"/>
                              <w:marRight w:val="0"/>
                              <w:marTop w:val="0"/>
                              <w:marBottom w:val="0"/>
                              <w:divBdr>
                                <w:top w:val="none" w:sz="0" w:space="0" w:color="auto"/>
                                <w:left w:val="none" w:sz="0" w:space="0" w:color="auto"/>
                                <w:bottom w:val="none" w:sz="0" w:space="0" w:color="auto"/>
                                <w:right w:val="none" w:sz="0" w:space="0" w:color="auto"/>
                              </w:divBdr>
                            </w:div>
                          </w:divsChild>
                        </w:div>
                        <w:div w:id="275869265">
                          <w:marLeft w:val="0"/>
                          <w:marRight w:val="0"/>
                          <w:marTop w:val="100"/>
                          <w:marBottom w:val="100"/>
                          <w:divBdr>
                            <w:top w:val="none" w:sz="0" w:space="0" w:color="auto"/>
                            <w:left w:val="none" w:sz="0" w:space="0" w:color="auto"/>
                            <w:bottom w:val="none" w:sz="0" w:space="0" w:color="auto"/>
                            <w:right w:val="none" w:sz="0" w:space="0" w:color="auto"/>
                          </w:divBdr>
                          <w:divsChild>
                            <w:div w:id="2143424780">
                              <w:marLeft w:val="0"/>
                              <w:marRight w:val="0"/>
                              <w:marTop w:val="0"/>
                              <w:marBottom w:val="0"/>
                              <w:divBdr>
                                <w:top w:val="none" w:sz="0" w:space="0" w:color="auto"/>
                                <w:left w:val="none" w:sz="0" w:space="0" w:color="auto"/>
                                <w:bottom w:val="none" w:sz="0" w:space="0" w:color="auto"/>
                                <w:right w:val="none" w:sz="0" w:space="0" w:color="auto"/>
                              </w:divBdr>
                            </w:div>
                          </w:divsChild>
                        </w:div>
                        <w:div w:id="1385517944">
                          <w:marLeft w:val="0"/>
                          <w:marRight w:val="0"/>
                          <w:marTop w:val="100"/>
                          <w:marBottom w:val="100"/>
                          <w:divBdr>
                            <w:top w:val="none" w:sz="0" w:space="0" w:color="auto"/>
                            <w:left w:val="none" w:sz="0" w:space="0" w:color="auto"/>
                            <w:bottom w:val="none" w:sz="0" w:space="0" w:color="auto"/>
                            <w:right w:val="none" w:sz="0" w:space="0" w:color="auto"/>
                          </w:divBdr>
                          <w:divsChild>
                            <w:div w:id="271059901">
                              <w:marLeft w:val="0"/>
                              <w:marRight w:val="0"/>
                              <w:marTop w:val="0"/>
                              <w:marBottom w:val="0"/>
                              <w:divBdr>
                                <w:top w:val="none" w:sz="0" w:space="0" w:color="auto"/>
                                <w:left w:val="none" w:sz="0" w:space="0" w:color="auto"/>
                                <w:bottom w:val="none" w:sz="0" w:space="0" w:color="auto"/>
                                <w:right w:val="none" w:sz="0" w:space="0" w:color="auto"/>
                              </w:divBdr>
                            </w:div>
                          </w:divsChild>
                        </w:div>
                        <w:div w:id="2132896209">
                          <w:marLeft w:val="0"/>
                          <w:marRight w:val="0"/>
                          <w:marTop w:val="100"/>
                          <w:marBottom w:val="100"/>
                          <w:divBdr>
                            <w:top w:val="none" w:sz="0" w:space="0" w:color="auto"/>
                            <w:left w:val="none" w:sz="0" w:space="0" w:color="auto"/>
                            <w:bottom w:val="none" w:sz="0" w:space="0" w:color="auto"/>
                            <w:right w:val="none" w:sz="0" w:space="0" w:color="auto"/>
                          </w:divBdr>
                          <w:divsChild>
                            <w:div w:id="1223903964">
                              <w:marLeft w:val="0"/>
                              <w:marRight w:val="0"/>
                              <w:marTop w:val="0"/>
                              <w:marBottom w:val="0"/>
                              <w:divBdr>
                                <w:top w:val="none" w:sz="0" w:space="0" w:color="auto"/>
                                <w:left w:val="none" w:sz="0" w:space="0" w:color="auto"/>
                                <w:bottom w:val="none" w:sz="0" w:space="0" w:color="auto"/>
                                <w:right w:val="none" w:sz="0" w:space="0" w:color="auto"/>
                              </w:divBdr>
                            </w:div>
                          </w:divsChild>
                        </w:div>
                        <w:div w:id="334504852">
                          <w:marLeft w:val="0"/>
                          <w:marRight w:val="0"/>
                          <w:marTop w:val="100"/>
                          <w:marBottom w:val="100"/>
                          <w:divBdr>
                            <w:top w:val="none" w:sz="0" w:space="0" w:color="auto"/>
                            <w:left w:val="none" w:sz="0" w:space="0" w:color="auto"/>
                            <w:bottom w:val="none" w:sz="0" w:space="0" w:color="auto"/>
                            <w:right w:val="none" w:sz="0" w:space="0" w:color="auto"/>
                          </w:divBdr>
                          <w:divsChild>
                            <w:div w:id="2308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29265">
          <w:marLeft w:val="0"/>
          <w:marRight w:val="0"/>
          <w:marTop w:val="0"/>
          <w:marBottom w:val="0"/>
          <w:divBdr>
            <w:top w:val="none" w:sz="0" w:space="0" w:color="auto"/>
            <w:left w:val="none" w:sz="0" w:space="0" w:color="auto"/>
            <w:bottom w:val="none" w:sz="0" w:space="0" w:color="auto"/>
            <w:right w:val="none" w:sz="0" w:space="0" w:color="auto"/>
          </w:divBdr>
          <w:divsChild>
            <w:div w:id="100149702">
              <w:marLeft w:val="0"/>
              <w:marRight w:val="0"/>
              <w:marTop w:val="0"/>
              <w:marBottom w:val="0"/>
              <w:divBdr>
                <w:top w:val="single" w:sz="24" w:space="9" w:color="000000"/>
                <w:left w:val="single" w:sz="6" w:space="15" w:color="CCCCCC"/>
                <w:bottom w:val="single" w:sz="6" w:space="15" w:color="CCCCCC"/>
                <w:right w:val="single" w:sz="6" w:space="15" w:color="CCCCCC"/>
              </w:divBdr>
              <w:divsChild>
                <w:div w:id="904291732">
                  <w:marLeft w:val="0"/>
                  <w:marRight w:val="0"/>
                  <w:marTop w:val="315"/>
                  <w:marBottom w:val="0"/>
                  <w:divBdr>
                    <w:top w:val="none" w:sz="0" w:space="0" w:color="auto"/>
                    <w:left w:val="none" w:sz="0" w:space="0" w:color="auto"/>
                    <w:bottom w:val="none" w:sz="0" w:space="0" w:color="auto"/>
                    <w:right w:val="none" w:sz="0" w:space="0" w:color="auto"/>
                  </w:divBdr>
                  <w:divsChild>
                    <w:div w:id="481317261">
                      <w:marLeft w:val="0"/>
                      <w:marRight w:val="0"/>
                      <w:marTop w:val="0"/>
                      <w:marBottom w:val="0"/>
                      <w:divBdr>
                        <w:top w:val="none" w:sz="0" w:space="0" w:color="auto"/>
                        <w:left w:val="none" w:sz="0" w:space="0" w:color="auto"/>
                        <w:bottom w:val="none" w:sz="0" w:space="0" w:color="auto"/>
                        <w:right w:val="none" w:sz="0" w:space="0" w:color="auto"/>
                      </w:divBdr>
                    </w:div>
                    <w:div w:id="1469856930">
                      <w:marLeft w:val="0"/>
                      <w:marRight w:val="0"/>
                      <w:marTop w:val="0"/>
                      <w:marBottom w:val="0"/>
                      <w:divBdr>
                        <w:top w:val="none" w:sz="0" w:space="0" w:color="auto"/>
                        <w:left w:val="none" w:sz="0" w:space="0" w:color="auto"/>
                        <w:bottom w:val="none" w:sz="0" w:space="0" w:color="auto"/>
                        <w:right w:val="none" w:sz="0" w:space="0" w:color="auto"/>
                      </w:divBdr>
                      <w:divsChild>
                        <w:div w:id="396784523">
                          <w:marLeft w:val="0"/>
                          <w:marRight w:val="0"/>
                          <w:marTop w:val="0"/>
                          <w:marBottom w:val="0"/>
                          <w:divBdr>
                            <w:top w:val="none" w:sz="0" w:space="0" w:color="auto"/>
                            <w:left w:val="none" w:sz="0" w:space="0" w:color="auto"/>
                            <w:bottom w:val="none" w:sz="0" w:space="0" w:color="auto"/>
                            <w:right w:val="none" w:sz="0" w:space="0" w:color="auto"/>
                          </w:divBdr>
                          <w:divsChild>
                            <w:div w:id="483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76074">
          <w:marLeft w:val="-300"/>
          <w:marRight w:val="-300"/>
          <w:marTop w:val="0"/>
          <w:marBottom w:val="0"/>
          <w:divBdr>
            <w:top w:val="none" w:sz="0" w:space="0" w:color="auto"/>
            <w:left w:val="none" w:sz="0" w:space="0" w:color="auto"/>
            <w:bottom w:val="none" w:sz="0" w:space="0" w:color="auto"/>
            <w:right w:val="none" w:sz="0" w:space="0" w:color="auto"/>
          </w:divBdr>
          <w:divsChild>
            <w:div w:id="1472135247">
              <w:marLeft w:val="0"/>
              <w:marRight w:val="0"/>
              <w:marTop w:val="100"/>
              <w:marBottom w:val="100"/>
              <w:divBdr>
                <w:top w:val="none" w:sz="0" w:space="0" w:color="auto"/>
                <w:left w:val="none" w:sz="0" w:space="0" w:color="auto"/>
                <w:bottom w:val="none" w:sz="0" w:space="0" w:color="auto"/>
                <w:right w:val="none" w:sz="0" w:space="0" w:color="auto"/>
              </w:divBdr>
              <w:divsChild>
                <w:div w:id="141443006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impresa/contratti-dimpresa/quotidiano/2022/05/18/decreto-aiuti-mappa-novita-imprese-professionis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1207</Words>
  <Characters>6885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2022-05-22T14:48:00Z</dcterms:modified>
</cp:coreProperties>
</file>