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6B52" w14:textId="77777777" w:rsidR="0021583C" w:rsidRDefault="0021583C" w:rsidP="0021583C">
      <w:pPr>
        <w:pStyle w:val="Titolo1"/>
        <w:spacing w:before="0" w:beforeAutospacing="0" w:after="165" w:afterAutospacing="0" w:line="630" w:lineRule="atLeast"/>
        <w:textAlignment w:val="baseline"/>
        <w:rPr>
          <w:b w:val="0"/>
          <w:bCs w:val="0"/>
          <w:color w:val="007AC3"/>
          <w:sz w:val="54"/>
          <w:szCs w:val="54"/>
        </w:rPr>
      </w:pPr>
      <w:r>
        <w:rPr>
          <w:b w:val="0"/>
          <w:bCs w:val="0"/>
          <w:color w:val="007AC3"/>
          <w:sz w:val="54"/>
          <w:szCs w:val="54"/>
        </w:rPr>
        <w:t>e-fattura forfetari: obbligo dal 1° luglio 2022 con ricavi superiori a 25.000 euro</w:t>
      </w:r>
    </w:p>
    <w:p w14:paraId="35A1E81A" w14:textId="77777777" w:rsidR="0021583C" w:rsidRDefault="0021583C" w:rsidP="0021583C">
      <w:pPr>
        <w:pStyle w:val="abstract"/>
        <w:spacing w:before="90" w:beforeAutospacing="0" w:after="300" w:afterAutospacing="0" w:line="360" w:lineRule="atLeast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Fattura elettronica obbligatoria per i forfetari con ricavi o compensi superiori a 25.000 euro a partire dal 1° luglio 2022, con possibilità di non incorrere in sanzioni, nel terzo trimestre 2022 se la fattura viene emessa entro 30 giorni. È quanto previsto nel decreto PNRR 2, sulla seconda fase di attuazione del PNNR, approvato in seconda lettura dal </w:t>
      </w:r>
      <w:proofErr w:type="gramStart"/>
      <w:r>
        <w:rPr>
          <w:sz w:val="23"/>
          <w:szCs w:val="23"/>
        </w:rPr>
        <w:t>Consiglio dei Ministri</w:t>
      </w:r>
      <w:proofErr w:type="gramEnd"/>
      <w:r>
        <w:rPr>
          <w:sz w:val="23"/>
          <w:szCs w:val="23"/>
        </w:rPr>
        <w:t xml:space="preserve"> del 21 aprile. Confermate le altre norme fiscali, tra cui l’anticipo di sei mesi - dal 1° gennaio 2023 al 30 giugno 2022 - del sistema sanzionatorio in caso di rifiuto dei pagamenti con POS. Una novità si registra, invece, sull’invio dei dati per i pagamenti con POS.</w:t>
      </w:r>
    </w:p>
    <w:p w14:paraId="1F51FD19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Obbligo di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fatturazione elettronica</w:t>
      </w:r>
      <w:r>
        <w:rPr>
          <w:rFonts w:ascii="Fira Sans" w:hAnsi="Fira Sans"/>
          <w:color w:val="000000"/>
          <w:sz w:val="23"/>
          <w:szCs w:val="23"/>
        </w:rPr>
        <w:t> per 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forfetari</w:t>
      </w:r>
      <w:r>
        <w:rPr>
          <w:rFonts w:ascii="Fira Sans" w:hAnsi="Fira Sans"/>
          <w:color w:val="000000"/>
          <w:sz w:val="23"/>
          <w:szCs w:val="23"/>
        </w:rPr>
        <w:t> in vigore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dal 1° luglio 2022</w:t>
      </w:r>
      <w:r>
        <w:rPr>
          <w:rFonts w:ascii="Fira Sans" w:hAnsi="Fira Sans"/>
          <w:color w:val="000000"/>
          <w:sz w:val="23"/>
          <w:szCs w:val="23"/>
        </w:rPr>
        <w:t>, ma solo per i soggetti che hanno ricavi o compensi dell’anno precedente, ragguagliati ad anno, superiori a 25.000 euro.</w:t>
      </w:r>
    </w:p>
    <w:p w14:paraId="27675EC8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 xml:space="preserve">È quanto si legge nella bozza del decreto PNRR 2 che il Governo ha approvato, in seconda lettura, durante il </w:t>
      </w:r>
      <w:proofErr w:type="gramStart"/>
      <w:r>
        <w:rPr>
          <w:rFonts w:ascii="Fira Sans" w:hAnsi="Fira Sans"/>
          <w:color w:val="000000"/>
          <w:sz w:val="23"/>
          <w:szCs w:val="23"/>
        </w:rPr>
        <w:t>Consiglio dei Ministri</w:t>
      </w:r>
      <w:proofErr w:type="gramEnd"/>
      <w:r>
        <w:rPr>
          <w:rFonts w:ascii="Fira Sans" w:hAnsi="Fira Sans"/>
          <w:color w:val="000000"/>
          <w:sz w:val="23"/>
          <w:szCs w:val="23"/>
        </w:rPr>
        <w:t xml:space="preserve"> del 21 aprile 2022.</w:t>
      </w:r>
    </w:p>
    <w:p w14:paraId="4CB87A78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</w:p>
    <w:p w14:paraId="3518CC73" w14:textId="2C762D66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Infatti, sono state riviste una serie di norme in materia di assunzioni nella pubblica amministrazione e sul reclutamento e formazione dei docenti.</w:t>
      </w:r>
    </w:p>
    <w:p w14:paraId="1368361D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Mentre, per quel che maggiormente interessa in questa sede, si devono registrare alcune novità in materia di adempimenti per 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pagamenti tramite POS</w:t>
      </w:r>
      <w:r>
        <w:rPr>
          <w:rFonts w:ascii="Fira Sans" w:hAnsi="Fira Sans"/>
          <w:color w:val="000000"/>
          <w:sz w:val="23"/>
          <w:szCs w:val="23"/>
        </w:rPr>
        <w:t>, anche se è stata confermata la norma che anticipa al 30 giugno 2022 l’avvio del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sistema sanzionatorio</w:t>
      </w:r>
      <w:r>
        <w:rPr>
          <w:rFonts w:ascii="Fira Sans" w:hAnsi="Fira Sans"/>
          <w:color w:val="000000"/>
          <w:sz w:val="23"/>
          <w:szCs w:val="23"/>
        </w:rPr>
        <w:t> per chi rifiuta i pagamenti con moneta elettronica.</w:t>
      </w:r>
    </w:p>
    <w:p w14:paraId="1FF0C450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 xml:space="preserve">Dovrebbero, poi, essere confermate altre importanti norme, tra cui il posticipo al 15 luglio per l’avvio del Codice della crisi d’impresa in quanto si è in attesa di completare il recepimento della direttiva </w:t>
      </w:r>
      <w:proofErr w:type="spellStart"/>
      <w:r>
        <w:rPr>
          <w:rFonts w:ascii="Fira Sans" w:hAnsi="Fira Sans"/>
          <w:color w:val="000000"/>
          <w:sz w:val="23"/>
          <w:szCs w:val="23"/>
        </w:rPr>
        <w:t>Insolvency</w:t>
      </w:r>
      <w:proofErr w:type="spellEnd"/>
      <w:r>
        <w:rPr>
          <w:rFonts w:ascii="Fira Sans" w:hAnsi="Fira Sans"/>
          <w:color w:val="000000"/>
          <w:sz w:val="23"/>
          <w:szCs w:val="23"/>
        </w:rPr>
        <w:t>.</w:t>
      </w:r>
    </w:p>
    <w:p w14:paraId="72A7F95E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Proviamo, dunque, a riassumere le principali novità che, a questo punto, salvo ulteriori sorprese, dovrebbero andare nel testo che sarà pubblicato in Gazzetta ufficiale.</w:t>
      </w:r>
    </w:p>
    <w:p w14:paraId="31166FDA" w14:textId="77777777" w:rsidR="0021583C" w:rsidRDefault="0021583C" w:rsidP="0021583C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Fatturazione elettronica per i forfetari</w:t>
      </w:r>
    </w:p>
    <w:p w14:paraId="44CDDCD4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Con le nuove norme, viene esteso - a partire dal 1° luglio 2022 - l’obbligo di fatturazione elettronica ai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contribuenti forfettari</w:t>
      </w:r>
      <w:r>
        <w:rPr>
          <w:rFonts w:ascii="Fira Sans" w:hAnsi="Fira Sans"/>
          <w:color w:val="000000"/>
          <w:sz w:val="23"/>
          <w:szCs w:val="23"/>
        </w:rPr>
        <w:t> 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in regime di vantaggio</w:t>
      </w:r>
      <w:r>
        <w:rPr>
          <w:rFonts w:ascii="Fira Sans" w:hAnsi="Fira Sans"/>
          <w:color w:val="000000"/>
          <w:sz w:val="23"/>
          <w:szCs w:val="23"/>
        </w:rPr>
        <w:t> e alle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associazioni sportive dilettantistiche</w:t>
      </w:r>
      <w:r>
        <w:rPr>
          <w:rFonts w:ascii="Fira Sans" w:hAnsi="Fira Sans"/>
          <w:color w:val="000000"/>
          <w:sz w:val="23"/>
          <w:szCs w:val="23"/>
        </w:rPr>
        <w:t>.</w:t>
      </w:r>
    </w:p>
    <w:p w14:paraId="289D9AAB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lastRenderedPageBreak/>
        <w:t>L’obbligo, però, dovrebbe interessare i soggetti che hanno ricavi o compensi dell’anno precedente, ragguagliati ad anno,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superiori a 25.000 euro</w:t>
      </w:r>
      <w:r>
        <w:rPr>
          <w:rFonts w:ascii="Fira Sans" w:hAnsi="Fira Sans"/>
          <w:color w:val="000000"/>
          <w:sz w:val="23"/>
          <w:szCs w:val="23"/>
        </w:rPr>
        <w:t>.</w:t>
      </w:r>
    </w:p>
    <w:p w14:paraId="414349F1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Invece, dal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2024</w:t>
      </w:r>
      <w:r>
        <w:rPr>
          <w:rFonts w:ascii="Fira Sans" w:hAnsi="Fira Sans"/>
          <w:color w:val="000000"/>
          <w:sz w:val="23"/>
          <w:szCs w:val="23"/>
        </w:rPr>
        <w:t>, tale limite dovrebbe cadere.</w:t>
      </w:r>
    </w:p>
    <w:p w14:paraId="4D7888C1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Confermata la norma secondo cui, per il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terzo trimestre 2022</w:t>
      </w:r>
      <w:r>
        <w:rPr>
          <w:rFonts w:ascii="Fira Sans" w:hAnsi="Fira Sans"/>
          <w:color w:val="000000"/>
          <w:sz w:val="23"/>
          <w:szCs w:val="23"/>
        </w:rPr>
        <w:t>, per i soggetti ai quali l’obbligo di fatturazione elettronica è esteso a decorrere dal 1° luglio 2022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non sono previste sanzioni</w:t>
      </w:r>
      <w:r>
        <w:rPr>
          <w:rFonts w:ascii="Fira Sans" w:hAnsi="Fira Sans"/>
          <w:color w:val="000000"/>
          <w:sz w:val="23"/>
          <w:szCs w:val="23"/>
        </w:rPr>
        <w:t> nel caso in cui la fattura elettronica sia emessa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entro il mese successivo</w:t>
      </w:r>
      <w:r>
        <w:rPr>
          <w:rFonts w:ascii="Fira Sans" w:hAnsi="Fira Sans"/>
          <w:color w:val="000000"/>
          <w:sz w:val="23"/>
          <w:szCs w:val="23"/>
        </w:rPr>
        <w:t> a quello di effettuazione dell'operazione.</w:t>
      </w:r>
      <w:r>
        <w:rPr>
          <w:rFonts w:ascii="Fira Sans" w:hAnsi="Fira Sans"/>
          <w:color w:val="000000"/>
          <w:sz w:val="23"/>
          <w:szCs w:val="23"/>
        </w:rPr>
        <w:br/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Leggi anche</w:t>
      </w:r>
    </w:p>
    <w:p w14:paraId="51517B02" w14:textId="77777777" w:rsidR="0021583C" w:rsidRDefault="0021583C" w:rsidP="0021583C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Sanzioni POS</w:t>
      </w:r>
    </w:p>
    <w:p w14:paraId="3DE8E84C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Nulla di nuovo, rispetto alla prima bozza del decreto, si registra sull’anticipo delle sanzioni per i mancati pagamenti con POS.</w:t>
      </w:r>
    </w:p>
    <w:p w14:paraId="2B248D05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Infatti, si interviene sull’art. 15, comma 4-</w:t>
      </w:r>
      <w:r>
        <w:rPr>
          <w:rStyle w:val="Enfasicorsivo"/>
          <w:rFonts w:ascii="Fira Sans" w:hAnsi="Fira Sans"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, D.L. n. 179/2012, anticipando dal 1° gennaio 2023 al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30 giugno 2022</w:t>
      </w:r>
      <w:r>
        <w:rPr>
          <w:rFonts w:ascii="Fira Sans" w:hAnsi="Fira Sans"/>
          <w:color w:val="000000"/>
          <w:sz w:val="23"/>
          <w:szCs w:val="23"/>
        </w:rPr>
        <w:t> l’entrata in vigore delle sanzioni per gli esercenti e i professionisti che rifiutano i pagamenti con POS.</w:t>
      </w:r>
    </w:p>
    <w:p w14:paraId="7FC708C0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</w:p>
    <w:p w14:paraId="7D9C021F" w14:textId="5C3F3452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La sanzione è pari 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30 euro</w:t>
      </w:r>
      <w:r>
        <w:rPr>
          <w:rFonts w:ascii="Fira Sans" w:hAnsi="Fira Sans"/>
          <w:color w:val="000000"/>
          <w:sz w:val="23"/>
          <w:szCs w:val="23"/>
        </w:rPr>
        <w:t> per ciascuna transazione e a prescindere dall’ammontare della spesa sostenuta,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aumentata del 4%</w:t>
      </w:r>
      <w:r>
        <w:rPr>
          <w:rFonts w:ascii="Fira Sans" w:hAnsi="Fira Sans"/>
          <w:color w:val="000000"/>
          <w:sz w:val="23"/>
          <w:szCs w:val="23"/>
        </w:rPr>
        <w:t> del valore della transazione.</w:t>
      </w:r>
    </w:p>
    <w:p w14:paraId="650A5353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È esclusa la possibilità, di procedere al pagamento in misura ridotta.</w:t>
      </w:r>
    </w:p>
    <w:p w14:paraId="582B7EED" w14:textId="77777777" w:rsidR="0021583C" w:rsidRDefault="0021583C" w:rsidP="0021583C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Invio dati pagamenti con POS</w:t>
      </w:r>
    </w:p>
    <w:p w14:paraId="17B139E5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Da segnalare, infine, una modifica relativamente alla norma sul credito d’imposta del 30%, spettante agli esercenti attività d’impresa e arte e professione, sulle commissioni addebitate per le transazioni effettuate mediante carte di credito, di debito o prepagate emesse da operatori finanziari (art. 22, D.L. n. 124/2019).</w:t>
      </w:r>
    </w:p>
    <w:p w14:paraId="0506B9F9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 particolare, è previsto che gli operatori che mettono a disposizione degli esercenti i sistemi di pagamento elettronico (i.e. gli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operatori che emettono carte di credito e bancomat</w:t>
      </w:r>
      <w:r>
        <w:rPr>
          <w:rFonts w:ascii="Fira Sans" w:hAnsi="Fira Sans"/>
          <w:color w:val="000000"/>
          <w:sz w:val="23"/>
          <w:szCs w:val="23"/>
        </w:rPr>
        <w:t>) trasmettono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telematicamente</w:t>
      </w:r>
      <w:r>
        <w:rPr>
          <w:rFonts w:ascii="Fira Sans" w:hAnsi="Fira Sans"/>
          <w:color w:val="000000"/>
          <w:sz w:val="23"/>
          <w:szCs w:val="23"/>
        </w:rPr>
        <w:t xml:space="preserve"> all’Agenzia delle Entrate, anche tramite la società </w:t>
      </w:r>
      <w:proofErr w:type="spellStart"/>
      <w:r>
        <w:rPr>
          <w:rFonts w:ascii="Fira Sans" w:hAnsi="Fira Sans"/>
          <w:color w:val="000000"/>
          <w:sz w:val="23"/>
          <w:szCs w:val="23"/>
        </w:rPr>
        <w:t>PagoPA</w:t>
      </w:r>
      <w:proofErr w:type="spellEnd"/>
      <w:r>
        <w:rPr>
          <w:rFonts w:ascii="Fira Sans" w:hAnsi="Fira Sans"/>
          <w:color w:val="000000"/>
          <w:sz w:val="23"/>
          <w:szCs w:val="23"/>
        </w:rPr>
        <w:t xml:space="preserve"> S.p.a., i dati identificativi degli strumenti di pagamento elettronico messi a disposizione degli esercenti, nonché l’importo complessivo delle transazioni giornaliere effettuate mediante gli stessi strumenti.</w:t>
      </w:r>
    </w:p>
    <w:p w14:paraId="6E192646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Con l’eliminazione del riferimento a un comma (precisamente il comma 1-</w:t>
      </w:r>
      <w:r>
        <w:rPr>
          <w:rStyle w:val="Enfasicorsivo"/>
          <w:rFonts w:ascii="Fira Sans" w:hAnsi="Fira Sans"/>
          <w:color w:val="000000"/>
          <w:sz w:val="23"/>
          <w:szCs w:val="23"/>
          <w:bdr w:val="none" w:sz="0" w:space="0" w:color="auto" w:frame="1"/>
        </w:rPr>
        <w:t>ter</w:t>
      </w:r>
      <w:r>
        <w:rPr>
          <w:rFonts w:ascii="Fira Sans" w:hAnsi="Fira Sans"/>
          <w:color w:val="000000"/>
          <w:sz w:val="23"/>
          <w:szCs w:val="23"/>
        </w:rPr>
        <w:t>), di fatto, l’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invio giornaliero dei dati</w:t>
      </w:r>
      <w:r>
        <w:rPr>
          <w:rFonts w:ascii="Fira Sans" w:hAnsi="Fira Sans"/>
          <w:color w:val="000000"/>
          <w:sz w:val="23"/>
          <w:szCs w:val="23"/>
        </w:rPr>
        <w:t> relativi alle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transazioni effettuate con POS</w:t>
      </w:r>
      <w:r>
        <w:rPr>
          <w:rFonts w:ascii="Fira Sans" w:hAnsi="Fira Sans"/>
          <w:color w:val="000000"/>
          <w:sz w:val="23"/>
          <w:szCs w:val="23"/>
        </w:rPr>
        <w:t> è stato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esteso a tutti i casi</w:t>
      </w:r>
      <w:r>
        <w:rPr>
          <w:rFonts w:ascii="Fira Sans" w:hAnsi="Fira Sans"/>
          <w:color w:val="000000"/>
          <w:sz w:val="23"/>
          <w:szCs w:val="23"/>
        </w:rPr>
        <w:t>, sia che si tratti di operazioni nei confronti dei consumatori finali, che nei confronti di altri operatori economici.</w:t>
      </w:r>
    </w:p>
    <w:p w14:paraId="55DE3AB2" w14:textId="77777777" w:rsidR="0021583C" w:rsidRDefault="0021583C" w:rsidP="0021583C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lastRenderedPageBreak/>
        <w:t>Pertanto, con chiare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finalità antielusive</w:t>
      </w:r>
      <w:r>
        <w:rPr>
          <w:rFonts w:ascii="Fira Sans" w:hAnsi="Fira Sans"/>
          <w:color w:val="000000"/>
          <w:sz w:val="23"/>
          <w:szCs w:val="23"/>
        </w:rPr>
        <w:t>, l’adempimento assume valenza di carattere generale.</w:t>
      </w:r>
    </w:p>
    <w:p w14:paraId="68EB952F" w14:textId="77777777" w:rsidR="00733CA6" w:rsidRPr="00E44708" w:rsidRDefault="00733CA6" w:rsidP="00E44708"/>
    <w:sectPr w:rsidR="00733CA6" w:rsidRPr="00E4470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20DB" w14:textId="77777777" w:rsidR="00F05BF1" w:rsidRDefault="00F05BF1">
      <w:r>
        <w:separator/>
      </w:r>
    </w:p>
  </w:endnote>
  <w:endnote w:type="continuationSeparator" w:id="0">
    <w:p w14:paraId="70EEE7B1" w14:textId="77777777" w:rsidR="00F05BF1" w:rsidRDefault="00F0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FB77" w14:textId="77777777" w:rsidR="00850DF5" w:rsidRDefault="00850DF5" w:rsidP="00EE4866">
    <w:pPr>
      <w:pStyle w:val="NormaleWeb"/>
      <w:tabs>
        <w:tab w:val="left" w:pos="4820"/>
      </w:tabs>
      <w:spacing w:before="0" w:beforeAutospacing="0" w:after="0" w:afterAutospacing="0"/>
      <w:rPr>
        <w:b/>
        <w:bCs/>
        <w:i/>
        <w:color w:val="000000"/>
        <w:sz w:val="20"/>
        <w:szCs w:val="20"/>
      </w:rPr>
    </w:pPr>
  </w:p>
  <w:p w14:paraId="4E94BF6C" w14:textId="77777777" w:rsidR="00EE4866" w:rsidRPr="00EE4866" w:rsidRDefault="00EE4866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b/>
        <w:bCs/>
        <w:i/>
        <w:color w:val="000000"/>
        <w:sz w:val="20"/>
        <w:szCs w:val="20"/>
      </w:rPr>
      <w:t>ROMA</w:t>
    </w:r>
    <w:r>
      <w:rPr>
        <w:b/>
        <w:bCs/>
        <w:i/>
        <w:color w:val="000000"/>
        <w:sz w:val="20"/>
        <w:szCs w:val="20"/>
      </w:rPr>
      <w:tab/>
    </w:r>
    <w:r w:rsidRPr="00EE4866">
      <w:rPr>
        <w:b/>
        <w:bCs/>
        <w:i/>
        <w:color w:val="000000"/>
        <w:sz w:val="20"/>
        <w:szCs w:val="20"/>
      </w:rPr>
      <w:t>ARIANO IRPINO</w:t>
    </w:r>
    <w:r w:rsidR="00447160">
      <w:rPr>
        <w:b/>
        <w:bCs/>
        <w:i/>
        <w:color w:val="000000"/>
        <w:sz w:val="20"/>
        <w:szCs w:val="20"/>
      </w:rPr>
      <w:t xml:space="preserve"> (AV)</w:t>
    </w:r>
    <w:r w:rsidRPr="00EE4866">
      <w:rPr>
        <w:i/>
        <w:sz w:val="20"/>
        <w:szCs w:val="20"/>
      </w:rPr>
      <w:br/>
    </w:r>
    <w:r w:rsidR="0007685A">
      <w:rPr>
        <w:i/>
        <w:sz w:val="20"/>
        <w:szCs w:val="20"/>
      </w:rPr>
      <w:t xml:space="preserve">Viale Regina Margherita, 176 </w:t>
    </w:r>
    <w:r w:rsidR="001B7DAE">
      <w:rPr>
        <w:i/>
        <w:sz w:val="20"/>
        <w:szCs w:val="20"/>
      </w:rPr>
      <w:t xml:space="preserve">- </w:t>
    </w:r>
    <w:r w:rsidR="001B7DAE" w:rsidRPr="0007685A">
      <w:rPr>
        <w:i/>
        <w:sz w:val="20"/>
        <w:szCs w:val="20"/>
      </w:rPr>
      <w:t>Scala</w:t>
    </w:r>
    <w:r w:rsidR="0007685A" w:rsidRPr="00EE4866">
      <w:rPr>
        <w:i/>
        <w:sz w:val="20"/>
        <w:szCs w:val="20"/>
      </w:rPr>
      <w:t xml:space="preserve"> B - Interno 2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 xml:space="preserve">Via Fontana Angelica, 1 </w:t>
    </w:r>
    <w:r w:rsidR="0007685A">
      <w:rPr>
        <w:i/>
        <w:sz w:val="20"/>
        <w:szCs w:val="20"/>
      </w:rPr>
      <w:t xml:space="preserve">- </w:t>
    </w:r>
    <w:r w:rsidR="0007685A" w:rsidRPr="00EE4866">
      <w:rPr>
        <w:i/>
        <w:sz w:val="20"/>
        <w:szCs w:val="20"/>
      </w:rPr>
      <w:t>Centro Direz. F.A.C.I.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br/>
      <w:t>00198 Roma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>83031 Ariano Irpino (AV)</w:t>
    </w:r>
  </w:p>
  <w:p w14:paraId="3B807F1B" w14:textId="77777777" w:rsidR="00EE4866" w:rsidRPr="0006133F" w:rsidRDefault="007B0EA7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Tel. 06/85301700</w:t>
    </w:r>
    <w:r>
      <w:rPr>
        <w:i/>
        <w:sz w:val="20"/>
        <w:szCs w:val="20"/>
      </w:rPr>
      <w:tab/>
      <w:t>Tel. 0825/</w:t>
    </w:r>
    <w:r w:rsidR="00EE4866" w:rsidRPr="0006133F">
      <w:rPr>
        <w:i/>
        <w:sz w:val="20"/>
        <w:szCs w:val="20"/>
      </w:rPr>
      <w:t>892086</w:t>
    </w:r>
    <w:r>
      <w:rPr>
        <w:i/>
        <w:sz w:val="20"/>
        <w:szCs w:val="20"/>
      </w:rPr>
      <w:t xml:space="preserve"> </w:t>
    </w:r>
    <w:r w:rsidR="001B7DAE">
      <w:rPr>
        <w:i/>
        <w:sz w:val="20"/>
        <w:szCs w:val="20"/>
      </w:rPr>
      <w:t>-</w:t>
    </w:r>
    <w:r>
      <w:rPr>
        <w:i/>
        <w:sz w:val="20"/>
        <w:szCs w:val="20"/>
      </w:rPr>
      <w:t xml:space="preserve"> 0825/891301</w:t>
    </w:r>
    <w:r w:rsidR="0007685A" w:rsidRPr="0006133F">
      <w:rPr>
        <w:i/>
        <w:sz w:val="20"/>
        <w:szCs w:val="20"/>
      </w:rPr>
      <w:t xml:space="preserve"> - Fax 0825</w:t>
    </w:r>
    <w:r>
      <w:rPr>
        <w:i/>
        <w:sz w:val="20"/>
        <w:szCs w:val="20"/>
      </w:rPr>
      <w:t>/</w:t>
    </w:r>
    <w:r w:rsidR="0007685A" w:rsidRPr="0006133F">
      <w:rPr>
        <w:i/>
        <w:sz w:val="20"/>
        <w:szCs w:val="20"/>
      </w:rPr>
      <w:t>892642</w:t>
    </w:r>
    <w:r w:rsidR="00EE4866"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</w:p>
  <w:p w14:paraId="4B9905BA" w14:textId="77777777" w:rsidR="00EE4866" w:rsidRPr="0006133F" w:rsidRDefault="00EE4866" w:rsidP="0007685A">
    <w:pPr>
      <w:pStyle w:val="NormaleWeb"/>
      <w:tabs>
        <w:tab w:val="left" w:pos="4820"/>
      </w:tabs>
      <w:spacing w:before="0" w:beforeAutospacing="0" w:after="0" w:afterAutospacing="0"/>
      <w:ind w:right="-143"/>
      <w:rPr>
        <w:i/>
        <w:color w:val="000000"/>
        <w:sz w:val="20"/>
        <w:szCs w:val="20"/>
      </w:rPr>
    </w:pPr>
    <w:r w:rsidRPr="0006133F">
      <w:rPr>
        <w:i/>
        <w:sz w:val="20"/>
        <w:szCs w:val="20"/>
      </w:rPr>
      <w:t>inforoma@studiocastellano.com</w:t>
    </w:r>
    <w:r w:rsidRPr="0006133F">
      <w:rPr>
        <w:i/>
        <w:sz w:val="20"/>
        <w:szCs w:val="20"/>
      </w:rPr>
      <w:tab/>
      <w:t>info@studiocastellano.com</w:t>
    </w:r>
  </w:p>
  <w:p w14:paraId="487D7F05" w14:textId="77777777" w:rsidR="00CF1BE2" w:rsidRPr="00E845CA" w:rsidRDefault="00CF1BE2" w:rsidP="00EE4866">
    <w:pPr>
      <w:tabs>
        <w:tab w:val="center" w:pos="4820"/>
      </w:tabs>
      <w:rPr>
        <w:b/>
        <w:i/>
        <w:sz w:val="20"/>
        <w:szCs w:val="20"/>
      </w:rPr>
    </w:pPr>
    <w:r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  <w:r w:rsidR="00E845CA" w:rsidRPr="00E845CA">
      <w:rPr>
        <w:b/>
        <w:i/>
        <w:sz w:val="20"/>
        <w:szCs w:val="20"/>
      </w:rPr>
      <w:t>www.studiocastellano.com - facebook.com/StudioCastellano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E15F" w14:textId="77777777" w:rsidR="00F05BF1" w:rsidRDefault="00F05BF1">
      <w:r>
        <w:separator/>
      </w:r>
    </w:p>
  </w:footnote>
  <w:footnote w:type="continuationSeparator" w:id="0">
    <w:p w14:paraId="09704E59" w14:textId="77777777" w:rsidR="00F05BF1" w:rsidRDefault="00F0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B2A5" w14:textId="77777777" w:rsidR="005E2050" w:rsidRDefault="0009074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FE58D4" wp14:editId="3BA2AD55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843328" cy="531077"/>
          <wp:effectExtent l="0" t="0" r="508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tudio Castellan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328" cy="53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A3371" w14:textId="77777777" w:rsidR="005E2050" w:rsidRDefault="005E2050">
    <w:pPr>
      <w:pStyle w:val="Intestazione"/>
    </w:pPr>
  </w:p>
  <w:p w14:paraId="0714452E" w14:textId="77777777" w:rsidR="005E2050" w:rsidRDefault="005E2050">
    <w:pPr>
      <w:pStyle w:val="Intestazione"/>
    </w:pPr>
  </w:p>
  <w:p w14:paraId="2FAEA1FF" w14:textId="77777777" w:rsidR="005E2050" w:rsidRDefault="005E2050" w:rsidP="0051460C">
    <w:pPr>
      <w:pStyle w:val="Intestazione"/>
      <w:tabs>
        <w:tab w:val="clear" w:pos="4819"/>
        <w:tab w:val="clear" w:pos="9638"/>
      </w:tabs>
      <w:jc w:val="center"/>
    </w:pPr>
    <w:r>
      <w:t>Professionisti d’Impresa</w:t>
    </w:r>
  </w:p>
  <w:p w14:paraId="59897486" w14:textId="77777777" w:rsidR="005E2050" w:rsidRDefault="005E2050" w:rsidP="0051460C">
    <w:pPr>
      <w:pStyle w:val="Intestazione"/>
      <w:tabs>
        <w:tab w:val="left" w:pos="142"/>
        <w:tab w:val="left" w:pos="180"/>
      </w:tabs>
      <w:jc w:val="center"/>
    </w:pPr>
    <w:r>
      <w:t>Studio di Consulenza Societaria e Tributaria</w:t>
    </w:r>
  </w:p>
  <w:p w14:paraId="09481E10" w14:textId="77777777" w:rsidR="00021415" w:rsidRDefault="00021415" w:rsidP="0051460C">
    <w:pPr>
      <w:pStyle w:val="Intestazione"/>
      <w:tabs>
        <w:tab w:val="left" w:pos="142"/>
        <w:tab w:val="left" w:pos="1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B8D"/>
    <w:multiLevelType w:val="hybridMultilevel"/>
    <w:tmpl w:val="834EBD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A6B48"/>
    <w:multiLevelType w:val="multilevel"/>
    <w:tmpl w:val="E1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746D"/>
    <w:multiLevelType w:val="hybridMultilevel"/>
    <w:tmpl w:val="5D286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818C8"/>
    <w:multiLevelType w:val="multilevel"/>
    <w:tmpl w:val="E82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3097F"/>
    <w:multiLevelType w:val="hybridMultilevel"/>
    <w:tmpl w:val="14CC14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F6FCC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609CD"/>
    <w:multiLevelType w:val="hybridMultilevel"/>
    <w:tmpl w:val="B7C49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05F6"/>
    <w:multiLevelType w:val="hybridMultilevel"/>
    <w:tmpl w:val="9BF2028A"/>
    <w:lvl w:ilvl="0" w:tplc="10F6FC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575C9F"/>
    <w:multiLevelType w:val="multilevel"/>
    <w:tmpl w:val="FBB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A28FF"/>
    <w:multiLevelType w:val="hybridMultilevel"/>
    <w:tmpl w:val="8F0092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26AFA"/>
    <w:multiLevelType w:val="multilevel"/>
    <w:tmpl w:val="72C8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16960"/>
    <w:multiLevelType w:val="multilevel"/>
    <w:tmpl w:val="C6D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35"/>
    <w:rsid w:val="00001CAF"/>
    <w:rsid w:val="00021415"/>
    <w:rsid w:val="0006133F"/>
    <w:rsid w:val="0007685A"/>
    <w:rsid w:val="00090742"/>
    <w:rsid w:val="000E3A1A"/>
    <w:rsid w:val="000F6E4D"/>
    <w:rsid w:val="00131D35"/>
    <w:rsid w:val="001B7DAE"/>
    <w:rsid w:val="0021583C"/>
    <w:rsid w:val="00260E46"/>
    <w:rsid w:val="00292CC6"/>
    <w:rsid w:val="002E35F2"/>
    <w:rsid w:val="002F7467"/>
    <w:rsid w:val="00423765"/>
    <w:rsid w:val="00447160"/>
    <w:rsid w:val="0051460C"/>
    <w:rsid w:val="00525604"/>
    <w:rsid w:val="00576557"/>
    <w:rsid w:val="005C19B6"/>
    <w:rsid w:val="005E2050"/>
    <w:rsid w:val="00617A0A"/>
    <w:rsid w:val="00671A83"/>
    <w:rsid w:val="006D386C"/>
    <w:rsid w:val="006E4BE7"/>
    <w:rsid w:val="00702340"/>
    <w:rsid w:val="00733CA6"/>
    <w:rsid w:val="007B0EA7"/>
    <w:rsid w:val="00830A14"/>
    <w:rsid w:val="00844330"/>
    <w:rsid w:val="00850DF5"/>
    <w:rsid w:val="00865DB1"/>
    <w:rsid w:val="008B0AE7"/>
    <w:rsid w:val="00997866"/>
    <w:rsid w:val="00A45B1A"/>
    <w:rsid w:val="00B52F06"/>
    <w:rsid w:val="00B54C6E"/>
    <w:rsid w:val="00BB03EA"/>
    <w:rsid w:val="00C82D18"/>
    <w:rsid w:val="00CF1BE2"/>
    <w:rsid w:val="00D96F12"/>
    <w:rsid w:val="00DA7F7D"/>
    <w:rsid w:val="00DD12DF"/>
    <w:rsid w:val="00E125FF"/>
    <w:rsid w:val="00E4304B"/>
    <w:rsid w:val="00E44708"/>
    <w:rsid w:val="00E55566"/>
    <w:rsid w:val="00E845CA"/>
    <w:rsid w:val="00EE4866"/>
    <w:rsid w:val="00F05BF1"/>
    <w:rsid w:val="00F25646"/>
    <w:rsid w:val="00F752DD"/>
    <w:rsid w:val="00F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5C506"/>
  <w15:chartTrackingRefBased/>
  <w15:docId w15:val="{DABDCFF1-4B1D-468C-B24F-D06296E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B0A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15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71A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1A8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E4866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E4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12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25F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AE7"/>
    <w:rPr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8B0AE7"/>
    <w:rPr>
      <w:b/>
      <w:bCs/>
    </w:rPr>
  </w:style>
  <w:style w:type="paragraph" w:styleId="Paragrafoelenco">
    <w:name w:val="List Paragraph"/>
    <w:basedOn w:val="Normale"/>
    <w:uiPriority w:val="34"/>
    <w:qFormat/>
    <w:rsid w:val="006E4BE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2158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">
    <w:name w:val="author"/>
    <w:basedOn w:val="Normale"/>
    <w:rsid w:val="0021583C"/>
    <w:pPr>
      <w:spacing w:before="100" w:beforeAutospacing="1" w:after="100" w:afterAutospacing="1"/>
    </w:pPr>
  </w:style>
  <w:style w:type="paragraph" w:customStyle="1" w:styleId="tag">
    <w:name w:val="tag"/>
    <w:basedOn w:val="Normale"/>
    <w:rsid w:val="0021583C"/>
    <w:pPr>
      <w:spacing w:before="100" w:beforeAutospacing="1" w:after="100" w:afterAutospacing="1"/>
    </w:pPr>
  </w:style>
  <w:style w:type="paragraph" w:customStyle="1" w:styleId="read-later">
    <w:name w:val="read-later"/>
    <w:basedOn w:val="Normale"/>
    <w:rsid w:val="0021583C"/>
    <w:pPr>
      <w:spacing w:before="100" w:beforeAutospacing="1" w:after="100" w:afterAutospacing="1"/>
    </w:pPr>
  </w:style>
  <w:style w:type="paragraph" w:customStyle="1" w:styleId="stampa">
    <w:name w:val="stampa"/>
    <w:basedOn w:val="Normale"/>
    <w:rsid w:val="0021583C"/>
    <w:pPr>
      <w:spacing w:before="100" w:beforeAutospacing="1" w:after="100" w:afterAutospacing="1"/>
    </w:pPr>
  </w:style>
  <w:style w:type="paragraph" w:customStyle="1" w:styleId="pdf">
    <w:name w:val="pdf"/>
    <w:basedOn w:val="Normale"/>
    <w:rsid w:val="0021583C"/>
    <w:pPr>
      <w:spacing w:before="100" w:beforeAutospacing="1" w:after="100" w:afterAutospacing="1"/>
    </w:pPr>
  </w:style>
  <w:style w:type="paragraph" w:customStyle="1" w:styleId="abstract">
    <w:name w:val="abstract"/>
    <w:basedOn w:val="Normale"/>
    <w:rsid w:val="0021583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2158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8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397">
                  <w:marLeft w:val="0"/>
                  <w:marRight w:val="0"/>
                  <w:marTop w:val="45"/>
                  <w:marBottom w:val="0"/>
                  <w:divBdr>
                    <w:top w:val="single" w:sz="6" w:space="1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7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7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7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09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4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64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967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55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5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46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6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692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6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2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89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86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59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30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1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61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5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189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0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86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567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EF6B-91B0-4CF7-A8C7-C01240B4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</dc:creator>
  <cp:keywords/>
  <cp:lastModifiedBy>EE8761</cp:lastModifiedBy>
  <cp:revision>12</cp:revision>
  <cp:lastPrinted>2012-01-11T15:32:00Z</cp:lastPrinted>
  <dcterms:created xsi:type="dcterms:W3CDTF">2015-03-23T10:52:00Z</dcterms:created>
  <dcterms:modified xsi:type="dcterms:W3CDTF">2022-04-23T14:48:00Z</dcterms:modified>
</cp:coreProperties>
</file>